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Chapter Three: Methodology 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This chapter presents the methodology of designing the Secondary Digital Storytelling curriculum unit. The chapter describes the design, setting and participants, instruments, procedures, and a summary of the chapter. 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Design</w:t>
      </w:r>
      <w:bookmarkStart w:id="0" w:name="_GoBack"/>
      <w:bookmarkEnd w:id="0"/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This curriculum project is for a </w:t>
      </w:r>
      <w:r w:rsidR="00483EDB">
        <w:rPr>
          <w:rFonts w:ascii="Times New Roman" w:hAnsi="Times New Roman" w:cs="Times New Roman"/>
          <w:sz w:val="32"/>
          <w:szCs w:val="32"/>
        </w:rPr>
        <w:t xml:space="preserve">6-week </w:t>
      </w:r>
      <w:r>
        <w:rPr>
          <w:rFonts w:ascii="Times New Roman" w:hAnsi="Times New Roman" w:cs="Times New Roman"/>
          <w:sz w:val="32"/>
          <w:szCs w:val="32"/>
        </w:rPr>
        <w:t xml:space="preserve">unit on digital storytelling for secondary students. My project’s guiding question is: </w:t>
      </w:r>
      <w:r w:rsidRPr="008065E5">
        <w:rPr>
          <w:rFonts w:ascii="Times New Roman" w:hAnsi="Times New Roman" w:cs="Times New Roman"/>
          <w:i/>
          <w:sz w:val="32"/>
          <w:szCs w:val="32"/>
        </w:rPr>
        <w:t xml:space="preserve">How can a digital storytelling curriculum be designed for a diverse secondary population in southern California? </w:t>
      </w:r>
      <w:r>
        <w:rPr>
          <w:rFonts w:ascii="Times New Roman" w:hAnsi="Times New Roman" w:cs="Times New Roman"/>
          <w:sz w:val="32"/>
          <w:szCs w:val="32"/>
        </w:rPr>
        <w:t xml:space="preserve">Each </w:t>
      </w:r>
      <w:proofErr w:type="gramStart"/>
      <w:r w:rsidR="00483EDB">
        <w:rPr>
          <w:rFonts w:ascii="Times New Roman" w:hAnsi="Times New Roman" w:cs="Times New Roman"/>
          <w:sz w:val="32"/>
          <w:szCs w:val="32"/>
        </w:rPr>
        <w:t>week-long</w:t>
      </w:r>
      <w:proofErr w:type="gramEnd"/>
      <w:r w:rsidR="0048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lesson in the curriculum addresses both the content standards for California Career Technical Model Career and English Language Development. The curriculum has six lessons: Screening, Storyboarding, Video Production, Peer Review – Edit, and Student Choice Awards. Each lesson includes a description of materials needed, standards, objectives, assessment, differentiation strategies, instructional steps, </w:t>
      </w:r>
      <w:proofErr w:type="gramStart"/>
      <w:r>
        <w:rPr>
          <w:rFonts w:ascii="Times New Roman" w:hAnsi="Times New Roman" w:cs="Times New Roman"/>
          <w:sz w:val="32"/>
          <w:szCs w:val="32"/>
        </w:rPr>
        <w:t>ppt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 guide instruction, graphic organizers and rubrics. </w:t>
      </w:r>
      <w:r w:rsidR="00AB3B4D">
        <w:rPr>
          <w:rFonts w:ascii="Times New Roman" w:hAnsi="Times New Roman" w:cs="Times New Roman"/>
          <w:sz w:val="32"/>
          <w:szCs w:val="32"/>
        </w:rPr>
        <w:t>The activities are designed with supports for English language development, such as vocabulary development, storyboards, peer review prompts, and differentiated rubrics.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Setting and Participants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The setting for this curriculum is a southern California alternative school, also referred to as a continuation school. Most students that attend have fallen behind in credit and are focused on meeting the graduation requirements. The demographics of my school are 86.7% Latino, 9.8 % White, 1.9% African American. Over seventy percent are English Learners. Four percent of students have a disability. In addition 87% are socioeconomically disadvantaged. 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Instruments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The lesson plan was our primary instrument, adapted from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CSUSM Single Subject Program Lesson Format, </w:t>
      </w:r>
      <w:r>
        <w:rPr>
          <w:rFonts w:ascii="Times New Roman" w:hAnsi="Times New Roman" w:cs="Times New Roman"/>
          <w:color w:val="0000FF"/>
          <w:sz w:val="32"/>
          <w:szCs w:val="32"/>
        </w:rPr>
        <w:t>www.lessonstructions.weebly.com</w:t>
      </w:r>
      <w:r>
        <w:rPr>
          <w:rFonts w:ascii="Times New Roman" w:hAnsi="Times New Roman" w:cs="Times New Roman"/>
          <w:sz w:val="32"/>
          <w:szCs w:val="32"/>
        </w:rPr>
        <w:t xml:space="preserve">. The lesson plan includes a description of materials needed, standards, objectives, assessment, differentiation strategies, instructional steps, </w:t>
      </w:r>
      <w:proofErr w:type="gramStart"/>
      <w:r>
        <w:rPr>
          <w:rFonts w:ascii="Times New Roman" w:hAnsi="Times New Roman" w:cs="Times New Roman"/>
          <w:sz w:val="32"/>
          <w:szCs w:val="32"/>
        </w:rPr>
        <w:t>ppt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 guide instruction, graphic organizers and rubrics. 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Procedures</w:t>
      </w:r>
    </w:p>
    <w:p w:rsidR="008065E5" w:rsidRDefault="008065E5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In creating a secondary school level video production lesson with best practices in mind, I had five curriculum development steps. First, I start by identifying the lessons that would benefit most from digital storytelling. Second, I identify the key standards in the California Career Technical Model Career and as well as the English Language Development </w:t>
      </w:r>
      <w:proofErr w:type="gramStart"/>
      <w:r>
        <w:rPr>
          <w:rFonts w:ascii="Times New Roman" w:hAnsi="Times New Roman" w:cs="Times New Roman"/>
          <w:sz w:val="32"/>
          <w:szCs w:val="32"/>
        </w:rPr>
        <w:t>area, since a large portion of my students are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English Learners. Over 70% of my students are English Learners. Moreover, some of my students struggle to progress with language development and digital literacy combined with a meaningful approach to technology integrated approaches to engaging student learning, in addition to content academics (</w:t>
      </w:r>
      <w:proofErr w:type="spellStart"/>
      <w:r>
        <w:rPr>
          <w:rFonts w:ascii="Times New Roman" w:hAnsi="Times New Roman" w:cs="Times New Roman"/>
          <w:sz w:val="32"/>
          <w:szCs w:val="32"/>
        </w:rPr>
        <w:t>Sadik</w:t>
      </w:r>
      <w:proofErr w:type="spellEnd"/>
      <w:r>
        <w:rPr>
          <w:rFonts w:ascii="Times New Roman" w:hAnsi="Times New Roman" w:cs="Times New Roman"/>
          <w:sz w:val="32"/>
          <w:szCs w:val="32"/>
        </w:rPr>
        <w:t>, 2008). Third, I reviewed the literature looking for best practices for adolescent digital storytelling, specifically how digital storytelling can be engaging (</w:t>
      </w:r>
      <w:proofErr w:type="spellStart"/>
      <w:r>
        <w:rPr>
          <w:rFonts w:ascii="Times New Roman" w:hAnsi="Times New Roman" w:cs="Times New Roman"/>
          <w:sz w:val="32"/>
          <w:szCs w:val="32"/>
        </w:rPr>
        <w:t>Sadak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2008; </w:t>
      </w:r>
      <w:proofErr w:type="spellStart"/>
      <w:r>
        <w:rPr>
          <w:rFonts w:ascii="Times New Roman" w:hAnsi="Times New Roman" w:cs="Times New Roman"/>
          <w:sz w:val="32"/>
          <w:szCs w:val="32"/>
        </w:rPr>
        <w:t>Smeda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Dakich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&amp; </w:t>
      </w:r>
      <w:proofErr w:type="spellStart"/>
      <w:r>
        <w:rPr>
          <w:rFonts w:ascii="Times New Roman" w:hAnsi="Times New Roman" w:cs="Times New Roman"/>
          <w:sz w:val="32"/>
          <w:szCs w:val="32"/>
        </w:rPr>
        <w:t>Sharda</w:t>
      </w:r>
      <w:proofErr w:type="spellEnd"/>
      <w:r>
        <w:rPr>
          <w:rFonts w:ascii="Times New Roman" w:hAnsi="Times New Roman" w:cs="Times New Roman"/>
          <w:sz w:val="32"/>
          <w:szCs w:val="32"/>
        </w:rPr>
        <w:t>, 2014) and lead to academic growth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Mansbach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2015; </w:t>
      </w:r>
      <w:proofErr w:type="spellStart"/>
      <w:r>
        <w:rPr>
          <w:rFonts w:ascii="Times New Roman" w:hAnsi="Times New Roman" w:cs="Times New Roman"/>
          <w:sz w:val="32"/>
          <w:szCs w:val="32"/>
        </w:rPr>
        <w:t>Sadak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2008; Yang, 2012), as well as review the best practices for using digital storytelling with adolescents (Harris, 2016; </w:t>
      </w:r>
      <w:proofErr w:type="spellStart"/>
      <w:r>
        <w:rPr>
          <w:rFonts w:ascii="Times New Roman" w:hAnsi="Times New Roman" w:cs="Times New Roman"/>
          <w:sz w:val="32"/>
          <w:szCs w:val="32"/>
        </w:rPr>
        <w:t>Navor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2017; </w:t>
      </w:r>
      <w:proofErr w:type="spellStart"/>
      <w:r>
        <w:rPr>
          <w:rFonts w:ascii="Times New Roman" w:hAnsi="Times New Roman" w:cs="Times New Roman"/>
          <w:sz w:val="32"/>
          <w:szCs w:val="32"/>
        </w:rPr>
        <w:t>Sadak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2008). Fourth, I created a best approach plan to implementing digital storytelling as well as a guide to help curriculum design. Fifth, I designed lessons based on the best practices, streamlined, and user friendly. Each lesson included English language development supports.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>Summary of Chapter Three</w:t>
      </w:r>
    </w:p>
    <w:p w:rsidR="0051653B" w:rsidRDefault="0051653B" w:rsidP="00AB3B4D">
      <w:pPr>
        <w:widowControl w:val="0"/>
        <w:autoSpaceDE w:val="0"/>
        <w:autoSpaceDN w:val="0"/>
        <w:adjustRightInd w:val="0"/>
        <w:spacing w:after="240"/>
        <w:ind w:right="-180" w:firstLine="72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t xml:space="preserve">The chapter described the design, setting and participants, instruments, and procedures. The next chapter presents the curriculum unit on digital storytelling. </w:t>
      </w:r>
    </w:p>
    <w:p w:rsidR="004B4EA1" w:rsidRDefault="004B4EA1"/>
    <w:sectPr w:rsidR="004B4EA1" w:rsidSect="00AB3B4D">
      <w:pgSz w:w="12240" w:h="15840"/>
      <w:pgMar w:top="1440" w:right="162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3B"/>
    <w:rsid w:val="00483EDB"/>
    <w:rsid w:val="004B4EA1"/>
    <w:rsid w:val="0051653B"/>
    <w:rsid w:val="008065E5"/>
    <w:rsid w:val="00A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427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3018</Characters>
  <Application>Microsoft Macintosh Word</Application>
  <DocSecurity>0</DocSecurity>
  <Lines>25</Lines>
  <Paragraphs>7</Paragraphs>
  <ScaleCrop>false</ScaleCrop>
  <Company>CSUSM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2</cp:revision>
  <dcterms:created xsi:type="dcterms:W3CDTF">2018-02-01T16:57:00Z</dcterms:created>
  <dcterms:modified xsi:type="dcterms:W3CDTF">2018-02-01T16:57:00Z</dcterms:modified>
</cp:coreProperties>
</file>