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3E" w:rsidRDefault="00D21E3E" w:rsidP="00D21E3E">
      <w:pPr>
        <w:rPr>
          <w:rFonts w:asciiTheme="majorHAnsi" w:hAnsiTheme="majorHAnsi"/>
          <w:b/>
          <w:szCs w:val="24"/>
        </w:rPr>
      </w:pPr>
      <w:r>
        <w:rPr>
          <w:rFonts w:asciiTheme="majorHAnsi" w:hAnsiTheme="majorHAnsi"/>
          <w:b/>
          <w:szCs w:val="24"/>
        </w:rPr>
        <w:t>Referrals from Academic Sena</w:t>
      </w:r>
      <w:bookmarkStart w:id="0" w:name="_GoBack"/>
      <w:bookmarkEnd w:id="0"/>
      <w:r>
        <w:rPr>
          <w:rFonts w:asciiTheme="majorHAnsi" w:hAnsiTheme="majorHAnsi"/>
          <w:b/>
          <w:szCs w:val="24"/>
        </w:rPr>
        <w:t>te, Fall 2014.</w:t>
      </w:r>
    </w:p>
    <w:p w:rsidR="00D21E3E" w:rsidRDefault="00D21E3E" w:rsidP="00D21E3E">
      <w:pPr>
        <w:rPr>
          <w:rFonts w:asciiTheme="majorHAnsi" w:hAnsiTheme="majorHAnsi"/>
          <w:b/>
          <w:szCs w:val="24"/>
        </w:rPr>
      </w:pPr>
    </w:p>
    <w:p w:rsidR="00D21E3E" w:rsidRDefault="00D21E3E" w:rsidP="00D21E3E">
      <w:pPr>
        <w:rPr>
          <w:rFonts w:asciiTheme="majorHAnsi" w:hAnsiTheme="majorHAnsi"/>
          <w:b/>
          <w:szCs w:val="24"/>
        </w:rPr>
      </w:pPr>
      <w:r w:rsidRPr="003755BD">
        <w:rPr>
          <w:rFonts w:asciiTheme="majorHAnsi" w:hAnsiTheme="majorHAnsi"/>
          <w:b/>
          <w:szCs w:val="24"/>
        </w:rPr>
        <w:t>General Education Committee</w:t>
      </w:r>
    </w:p>
    <w:p w:rsidR="00D21E3E" w:rsidRDefault="00D21E3E" w:rsidP="00D21E3E">
      <w:pPr>
        <w:rPr>
          <w:rFonts w:asciiTheme="majorHAnsi" w:hAnsiTheme="majorHAnsi"/>
          <w:b/>
          <w:szCs w:val="24"/>
        </w:rPr>
      </w:pPr>
    </w:p>
    <w:p w:rsidR="00D21E3E" w:rsidRDefault="00D21E3E" w:rsidP="00D21E3E">
      <w:pPr>
        <w:rPr>
          <w:rFonts w:asciiTheme="majorHAnsi" w:hAnsiTheme="majorHAnsi"/>
          <w:b/>
          <w:szCs w:val="24"/>
          <w:u w:val="single"/>
        </w:rPr>
      </w:pPr>
      <w:r w:rsidRPr="003755BD">
        <w:rPr>
          <w:rFonts w:asciiTheme="majorHAnsi" w:hAnsiTheme="majorHAnsi"/>
          <w:b/>
          <w:szCs w:val="24"/>
          <w:u w:val="single"/>
        </w:rPr>
        <w:t>Unfinished work from 13-14</w:t>
      </w:r>
    </w:p>
    <w:p w:rsidR="00D21E3E" w:rsidRPr="003755BD" w:rsidRDefault="00D21E3E" w:rsidP="00D21E3E">
      <w:pPr>
        <w:rPr>
          <w:rFonts w:asciiTheme="majorHAnsi" w:hAnsiTheme="majorHAnsi"/>
          <w:b/>
          <w:szCs w:val="24"/>
          <w:u w:val="single"/>
        </w:rPr>
      </w:pPr>
    </w:p>
    <w:p w:rsidR="00D21E3E" w:rsidRPr="003755BD" w:rsidRDefault="00D21E3E" w:rsidP="00D21E3E">
      <w:pPr>
        <w:rPr>
          <w:rFonts w:asciiTheme="majorHAnsi" w:hAnsiTheme="majorHAnsi"/>
          <w:szCs w:val="24"/>
        </w:rPr>
      </w:pPr>
      <w:r w:rsidRPr="001E3F14">
        <w:rPr>
          <w:rFonts w:asciiTheme="majorHAnsi" w:hAnsiTheme="majorHAnsi"/>
          <w:szCs w:val="24"/>
        </w:rPr>
        <w:t>1.</w:t>
      </w:r>
      <w:r w:rsidRPr="001E3F14">
        <w:rPr>
          <w:rFonts w:asciiTheme="majorHAnsi" w:hAnsiTheme="majorHAnsi"/>
          <w:b/>
          <w:szCs w:val="24"/>
        </w:rPr>
        <w:t xml:space="preserve">  </w:t>
      </w:r>
      <w:r w:rsidRPr="003755BD">
        <w:rPr>
          <w:rFonts w:asciiTheme="majorHAnsi" w:hAnsiTheme="majorHAnsi"/>
          <w:szCs w:val="24"/>
        </w:rPr>
        <w:t>Complete the lower division/area E recertification process.  Decertify courses not submitted for recertification.</w:t>
      </w:r>
    </w:p>
    <w:p w:rsidR="00D21E3E" w:rsidRPr="003755BD" w:rsidRDefault="00D21E3E" w:rsidP="00D21E3E">
      <w:pPr>
        <w:rPr>
          <w:rFonts w:asciiTheme="majorHAnsi" w:hAnsiTheme="majorHAnsi"/>
          <w:szCs w:val="24"/>
        </w:rPr>
      </w:pPr>
      <w:r>
        <w:rPr>
          <w:rFonts w:asciiTheme="majorHAnsi" w:hAnsiTheme="majorHAnsi"/>
          <w:szCs w:val="24"/>
        </w:rPr>
        <w:t xml:space="preserve">2.  </w:t>
      </w:r>
      <w:r w:rsidRPr="003755BD">
        <w:rPr>
          <w:rFonts w:asciiTheme="majorHAnsi" w:hAnsiTheme="majorHAnsi"/>
          <w:szCs w:val="24"/>
        </w:rPr>
        <w:t>Make appropriate modifications to lower division forms.  Begin to require the upper division GE student learning outcomes on all proposals for upper division GE certifications, perhaps as an addendum to the forms.</w:t>
      </w:r>
    </w:p>
    <w:p w:rsidR="00D21E3E" w:rsidRPr="003755BD" w:rsidRDefault="00D21E3E" w:rsidP="00D21E3E">
      <w:pPr>
        <w:rPr>
          <w:rFonts w:asciiTheme="majorHAnsi" w:hAnsiTheme="majorHAnsi"/>
          <w:szCs w:val="24"/>
        </w:rPr>
      </w:pPr>
      <w:r>
        <w:rPr>
          <w:rFonts w:asciiTheme="majorHAnsi" w:hAnsiTheme="majorHAnsi"/>
          <w:szCs w:val="24"/>
        </w:rPr>
        <w:t xml:space="preserve">3.  </w:t>
      </w:r>
      <w:r w:rsidRPr="003755BD">
        <w:rPr>
          <w:rFonts w:asciiTheme="majorHAnsi" w:hAnsiTheme="majorHAnsi"/>
          <w:szCs w:val="24"/>
        </w:rPr>
        <w:t xml:space="preserve">Study what it would take to do a review of upper division GE courses.  Survey faculty to determine the number of courses that would be submitted for recertification at upper division, </w:t>
      </w:r>
      <w:proofErr w:type="gramStart"/>
      <w:r w:rsidRPr="003755BD">
        <w:rPr>
          <w:rFonts w:asciiTheme="majorHAnsi" w:hAnsiTheme="majorHAnsi"/>
          <w:szCs w:val="24"/>
        </w:rPr>
        <w:t>decide</w:t>
      </w:r>
      <w:proofErr w:type="gramEnd"/>
      <w:r w:rsidRPr="003755BD">
        <w:rPr>
          <w:rFonts w:asciiTheme="majorHAnsi" w:hAnsiTheme="majorHAnsi"/>
          <w:szCs w:val="24"/>
        </w:rPr>
        <w:t xml:space="preserve"> what would be required for recertification of a course, and formulate a plan for execution of the recertification.</w:t>
      </w:r>
    </w:p>
    <w:p w:rsidR="00D21E3E" w:rsidRPr="003755BD" w:rsidRDefault="00D21E3E" w:rsidP="00D21E3E">
      <w:pPr>
        <w:rPr>
          <w:rFonts w:asciiTheme="majorHAnsi" w:hAnsiTheme="majorHAnsi"/>
          <w:szCs w:val="24"/>
        </w:rPr>
      </w:pPr>
      <w:r>
        <w:rPr>
          <w:rFonts w:asciiTheme="majorHAnsi" w:hAnsiTheme="majorHAnsi"/>
          <w:szCs w:val="24"/>
        </w:rPr>
        <w:t xml:space="preserve">4.  </w:t>
      </w:r>
      <w:r w:rsidRPr="003755BD">
        <w:rPr>
          <w:rFonts w:asciiTheme="majorHAnsi" w:hAnsiTheme="majorHAnsi"/>
          <w:szCs w:val="24"/>
        </w:rPr>
        <w:t>Coordinate assessment of GE program student learning outcomes.</w:t>
      </w:r>
      <w:r>
        <w:rPr>
          <w:rFonts w:asciiTheme="majorHAnsi" w:hAnsiTheme="majorHAnsi"/>
          <w:szCs w:val="24"/>
        </w:rPr>
        <w:t xml:space="preserve">  </w:t>
      </w:r>
    </w:p>
    <w:p w:rsidR="00D21E3E" w:rsidRPr="003755BD" w:rsidRDefault="00D21E3E" w:rsidP="00D21E3E">
      <w:pPr>
        <w:rPr>
          <w:rFonts w:asciiTheme="majorHAnsi" w:hAnsiTheme="majorHAnsi"/>
          <w:szCs w:val="24"/>
        </w:rPr>
      </w:pPr>
      <w:r>
        <w:rPr>
          <w:rFonts w:asciiTheme="majorHAnsi" w:hAnsiTheme="majorHAnsi"/>
          <w:szCs w:val="24"/>
        </w:rPr>
        <w:t xml:space="preserve">5.  </w:t>
      </w:r>
      <w:r w:rsidRPr="003755BD">
        <w:rPr>
          <w:rFonts w:asciiTheme="majorHAnsi" w:hAnsiTheme="majorHAnsi"/>
          <w:szCs w:val="24"/>
        </w:rPr>
        <w:t>Study CLEP exams for GE certification; solicit departments for input.</w:t>
      </w:r>
    </w:p>
    <w:p w:rsidR="00D21E3E" w:rsidRPr="003F5107" w:rsidRDefault="00D21E3E" w:rsidP="00D21E3E">
      <w:pPr>
        <w:rPr>
          <w:rFonts w:asciiTheme="majorHAnsi" w:hAnsiTheme="majorHAnsi"/>
          <w:color w:val="FF0000"/>
          <w:szCs w:val="24"/>
        </w:rPr>
      </w:pPr>
      <w:r>
        <w:rPr>
          <w:rFonts w:asciiTheme="majorHAnsi" w:hAnsiTheme="majorHAnsi"/>
          <w:szCs w:val="24"/>
        </w:rPr>
        <w:t xml:space="preserve">6.  </w:t>
      </w:r>
      <w:r w:rsidRPr="003755BD">
        <w:rPr>
          <w:rFonts w:asciiTheme="majorHAnsi" w:hAnsiTheme="majorHAnsi"/>
          <w:szCs w:val="24"/>
        </w:rPr>
        <w:t xml:space="preserve">Empanel </w:t>
      </w:r>
      <w:proofErr w:type="gramStart"/>
      <w:r w:rsidRPr="003755BD">
        <w:rPr>
          <w:rFonts w:asciiTheme="majorHAnsi" w:hAnsiTheme="majorHAnsi"/>
          <w:szCs w:val="24"/>
        </w:rPr>
        <w:t>Golden Four task force</w:t>
      </w:r>
      <w:proofErr w:type="gramEnd"/>
      <w:r w:rsidRPr="003755BD">
        <w:rPr>
          <w:rFonts w:asciiTheme="majorHAnsi" w:hAnsiTheme="majorHAnsi"/>
          <w:szCs w:val="24"/>
        </w:rPr>
        <w:t xml:space="preserve"> again.</w:t>
      </w:r>
      <w:r>
        <w:rPr>
          <w:rFonts w:asciiTheme="majorHAnsi" w:hAnsiTheme="majorHAnsi"/>
          <w:szCs w:val="24"/>
        </w:rPr>
        <w:t xml:space="preserve">  </w:t>
      </w:r>
      <w:r w:rsidRPr="00B94EC1">
        <w:rPr>
          <w:rFonts w:asciiTheme="majorHAnsi" w:hAnsiTheme="majorHAnsi"/>
          <w:szCs w:val="24"/>
        </w:rPr>
        <w:t>(Does the senate chair do this?  N</w:t>
      </w:r>
      <w:r>
        <w:rPr>
          <w:rFonts w:asciiTheme="majorHAnsi" w:hAnsiTheme="majorHAnsi"/>
          <w:szCs w:val="24"/>
        </w:rPr>
        <w:t>ot sure what this work would be)</w:t>
      </w:r>
      <w:r>
        <w:rPr>
          <w:rFonts w:asciiTheme="majorHAnsi" w:hAnsiTheme="majorHAnsi"/>
          <w:color w:val="FF0000"/>
          <w:szCs w:val="24"/>
        </w:rPr>
        <w:t xml:space="preserve"> </w:t>
      </w:r>
    </w:p>
    <w:p w:rsidR="00D21E3E" w:rsidRDefault="00D21E3E" w:rsidP="00D21E3E">
      <w:pPr>
        <w:rPr>
          <w:rFonts w:asciiTheme="majorHAnsi" w:hAnsiTheme="majorHAnsi"/>
          <w:szCs w:val="24"/>
        </w:rPr>
      </w:pPr>
      <w:r>
        <w:rPr>
          <w:rFonts w:asciiTheme="majorHAnsi" w:hAnsiTheme="majorHAnsi"/>
          <w:szCs w:val="24"/>
        </w:rPr>
        <w:t xml:space="preserve">7.  </w:t>
      </w:r>
      <w:r w:rsidRPr="003755BD">
        <w:rPr>
          <w:rFonts w:asciiTheme="majorHAnsi" w:hAnsiTheme="majorHAnsi"/>
          <w:szCs w:val="24"/>
        </w:rPr>
        <w:t>Complete effort to revise syllabus guidelines, working with APC.</w:t>
      </w:r>
    </w:p>
    <w:p w:rsidR="00D21E3E" w:rsidRDefault="00D21E3E" w:rsidP="00D21E3E">
      <w:pPr>
        <w:rPr>
          <w:rFonts w:asciiTheme="majorHAnsi" w:hAnsiTheme="majorHAnsi"/>
          <w:szCs w:val="24"/>
        </w:rPr>
      </w:pPr>
    </w:p>
    <w:p w:rsidR="00D21E3E" w:rsidRPr="001E3F14" w:rsidRDefault="00D21E3E" w:rsidP="00D21E3E">
      <w:pPr>
        <w:rPr>
          <w:rFonts w:asciiTheme="majorHAnsi" w:hAnsiTheme="majorHAnsi"/>
          <w:b/>
          <w:szCs w:val="24"/>
          <w:u w:val="single"/>
        </w:rPr>
      </w:pPr>
      <w:r w:rsidRPr="001E3F14">
        <w:rPr>
          <w:rFonts w:asciiTheme="majorHAnsi" w:hAnsiTheme="majorHAnsi"/>
          <w:b/>
          <w:szCs w:val="24"/>
          <w:u w:val="single"/>
        </w:rPr>
        <w:t>New business for 14-15</w:t>
      </w:r>
    </w:p>
    <w:p w:rsidR="00D21E3E" w:rsidRPr="003755BD" w:rsidRDefault="00D21E3E" w:rsidP="00D21E3E">
      <w:pPr>
        <w:rPr>
          <w:rFonts w:asciiTheme="majorHAnsi" w:hAnsiTheme="majorHAnsi"/>
          <w:szCs w:val="24"/>
        </w:rPr>
      </w:pPr>
      <w:r>
        <w:rPr>
          <w:rFonts w:asciiTheme="majorHAnsi" w:hAnsiTheme="majorHAnsi"/>
          <w:szCs w:val="24"/>
        </w:rPr>
        <w:t>8.  Determine the long-term status of the</w:t>
      </w:r>
      <w:r w:rsidRPr="003755BD">
        <w:rPr>
          <w:rFonts w:asciiTheme="majorHAnsi" w:hAnsiTheme="majorHAnsi"/>
          <w:szCs w:val="24"/>
        </w:rPr>
        <w:t xml:space="preserve"> 60 unit requ</w:t>
      </w:r>
      <w:r>
        <w:rPr>
          <w:rFonts w:asciiTheme="majorHAnsi" w:hAnsiTheme="majorHAnsi"/>
          <w:szCs w:val="24"/>
        </w:rPr>
        <w:t xml:space="preserve">irement for upper division GE </w:t>
      </w:r>
      <w:r w:rsidRPr="003755BD">
        <w:rPr>
          <w:rFonts w:asciiTheme="majorHAnsi" w:hAnsiTheme="majorHAnsi"/>
          <w:szCs w:val="24"/>
        </w:rPr>
        <w:t>policy.</w:t>
      </w:r>
    </w:p>
    <w:p w:rsidR="00D21E3E" w:rsidRDefault="00D21E3E" w:rsidP="00D21E3E">
      <w:pPr>
        <w:rPr>
          <w:rFonts w:asciiTheme="majorHAnsi" w:hAnsiTheme="majorHAnsi"/>
          <w:szCs w:val="24"/>
        </w:rPr>
      </w:pPr>
      <w:r>
        <w:rPr>
          <w:rFonts w:asciiTheme="majorHAnsi" w:hAnsiTheme="majorHAnsi"/>
          <w:szCs w:val="24"/>
        </w:rPr>
        <w:t xml:space="preserve">9.  </w:t>
      </w:r>
      <w:r w:rsidRPr="003755BD">
        <w:rPr>
          <w:rFonts w:asciiTheme="majorHAnsi" w:hAnsiTheme="majorHAnsi"/>
          <w:szCs w:val="24"/>
        </w:rPr>
        <w:t xml:space="preserve">Study </w:t>
      </w:r>
      <w:proofErr w:type="spellStart"/>
      <w:r w:rsidRPr="003755BD">
        <w:rPr>
          <w:rFonts w:asciiTheme="majorHAnsi" w:hAnsiTheme="majorHAnsi"/>
          <w:szCs w:val="24"/>
        </w:rPr>
        <w:t>Halualani</w:t>
      </w:r>
      <w:proofErr w:type="spellEnd"/>
      <w:r w:rsidRPr="003755BD">
        <w:rPr>
          <w:rFonts w:asciiTheme="majorHAnsi" w:hAnsiTheme="majorHAnsi"/>
          <w:szCs w:val="24"/>
        </w:rPr>
        <w:t xml:space="preserve"> and Associates report on diversity for </w:t>
      </w:r>
      <w:r>
        <w:rPr>
          <w:rFonts w:asciiTheme="majorHAnsi" w:hAnsiTheme="majorHAnsi"/>
          <w:szCs w:val="24"/>
        </w:rPr>
        <w:t>implications for</w:t>
      </w:r>
      <w:r w:rsidRPr="003755BD">
        <w:rPr>
          <w:rFonts w:asciiTheme="majorHAnsi" w:hAnsiTheme="majorHAnsi"/>
          <w:szCs w:val="24"/>
        </w:rPr>
        <w:t xml:space="preserve"> GE.</w:t>
      </w:r>
    </w:p>
    <w:p w:rsidR="00D21E3E" w:rsidRDefault="00D21E3E" w:rsidP="00D21E3E">
      <w:pPr>
        <w:rPr>
          <w:rFonts w:asciiTheme="majorHAnsi" w:hAnsiTheme="majorHAnsi"/>
          <w:szCs w:val="24"/>
        </w:rPr>
      </w:pPr>
    </w:p>
    <w:p w:rsidR="00D21E3E" w:rsidRPr="003F5107" w:rsidRDefault="00D21E3E" w:rsidP="00D21E3E">
      <w:pPr>
        <w:rPr>
          <w:rFonts w:asciiTheme="majorHAnsi" w:hAnsiTheme="majorHAnsi"/>
          <w:color w:val="FF0000"/>
          <w:szCs w:val="24"/>
        </w:rPr>
      </w:pPr>
      <w:r w:rsidRPr="00B94EC1">
        <w:rPr>
          <w:rFonts w:asciiTheme="majorHAnsi" w:hAnsiTheme="majorHAnsi"/>
          <w:szCs w:val="24"/>
        </w:rPr>
        <w:t>Left from 12-13 report</w:t>
      </w:r>
      <w:r>
        <w:rPr>
          <w:rFonts w:asciiTheme="majorHAnsi" w:hAnsiTheme="majorHAnsi"/>
          <w:szCs w:val="24"/>
        </w:rPr>
        <w:t xml:space="preserve">: </w:t>
      </w:r>
      <w:r w:rsidRPr="00B94EC1">
        <w:rPr>
          <w:rFonts w:asciiTheme="majorHAnsi" w:hAnsiTheme="majorHAnsi"/>
          <w:szCs w:val="24"/>
        </w:rPr>
        <w:t>Where does this stands?</w:t>
      </w:r>
    </w:p>
    <w:p w:rsidR="00D21E3E" w:rsidRDefault="00D21E3E" w:rsidP="00D21E3E">
      <w:pPr>
        <w:rPr>
          <w:i/>
          <w:sz w:val="26"/>
          <w:szCs w:val="26"/>
        </w:rPr>
      </w:pPr>
      <w:r>
        <w:rPr>
          <w:sz w:val="26"/>
          <w:szCs w:val="26"/>
        </w:rPr>
        <w:t xml:space="preserve">1.  </w:t>
      </w:r>
      <w:r w:rsidRPr="006818E9">
        <w:rPr>
          <w:sz w:val="26"/>
          <w:szCs w:val="26"/>
        </w:rPr>
        <w:t>Creation of formal definitions of “diversity” and “global learning” based on the 2</w:t>
      </w:r>
      <w:proofErr w:type="spellStart"/>
      <w:r w:rsidRPr="006818E9">
        <w:rPr>
          <w:position w:val="12"/>
          <w:sz w:val="16"/>
          <w:szCs w:val="16"/>
        </w:rPr>
        <w:t>nd</w:t>
      </w:r>
      <w:proofErr w:type="spellEnd"/>
      <w:r w:rsidRPr="006818E9">
        <w:rPr>
          <w:position w:val="12"/>
          <w:sz w:val="16"/>
          <w:szCs w:val="16"/>
        </w:rPr>
        <w:t xml:space="preserve"> </w:t>
      </w:r>
      <w:r w:rsidRPr="006818E9">
        <w:rPr>
          <w:sz w:val="26"/>
          <w:szCs w:val="26"/>
        </w:rPr>
        <w:t xml:space="preserve">learning outcome of Area DD for “diversity” and learning outcomes C3.3, C3.5 and C3.6 from LOTER for “global learning” for the purpose of assessing student learning about diversity and global perspectives. </w:t>
      </w:r>
      <w:r w:rsidRPr="00820B72">
        <w:rPr>
          <w:i/>
          <w:sz w:val="26"/>
          <w:szCs w:val="26"/>
        </w:rPr>
        <w:t xml:space="preserve">Consult </w:t>
      </w:r>
      <w:r>
        <w:rPr>
          <w:i/>
          <w:sz w:val="26"/>
          <w:szCs w:val="26"/>
        </w:rPr>
        <w:t xml:space="preserve">with </w:t>
      </w:r>
      <w:r w:rsidRPr="00820B72">
        <w:rPr>
          <w:i/>
          <w:sz w:val="26"/>
          <w:szCs w:val="26"/>
        </w:rPr>
        <w:t>AVP for Diversity</w:t>
      </w:r>
    </w:p>
    <w:p w:rsidR="00D21E3E" w:rsidRDefault="00D21E3E" w:rsidP="00D21E3E">
      <w:pPr>
        <w:rPr>
          <w:i/>
          <w:sz w:val="26"/>
          <w:szCs w:val="26"/>
        </w:rPr>
      </w:pPr>
    </w:p>
    <w:p w:rsidR="00D21E3E" w:rsidRPr="005E2C44" w:rsidRDefault="00D21E3E" w:rsidP="00D21E3E">
      <w:pPr>
        <w:widowControl w:val="0"/>
        <w:autoSpaceDE w:val="0"/>
        <w:autoSpaceDN w:val="0"/>
        <w:adjustRightInd w:val="0"/>
        <w:spacing w:after="240"/>
        <w:rPr>
          <w:rFonts w:ascii="Times" w:hAnsi="Times" w:cs="Times"/>
        </w:rPr>
      </w:pPr>
      <w:proofErr w:type="gramStart"/>
      <w:r>
        <w:t>2.</w:t>
      </w:r>
      <w:r w:rsidRPr="00FC173E">
        <w:t>Completion</w:t>
      </w:r>
      <w:proofErr w:type="gramEnd"/>
      <w:r w:rsidRPr="00FC173E">
        <w:t xml:space="preserve"> of the General Education Handbook </w:t>
      </w:r>
    </w:p>
    <w:p w:rsidR="00D21E3E" w:rsidRPr="00FC173E" w:rsidRDefault="00D21E3E" w:rsidP="00D21E3E">
      <w:pPr>
        <w:pStyle w:val="ListParagraph"/>
        <w:widowControl w:val="0"/>
        <w:autoSpaceDE w:val="0"/>
        <w:autoSpaceDN w:val="0"/>
        <w:adjustRightInd w:val="0"/>
        <w:spacing w:after="240"/>
        <w:rPr>
          <w:rFonts w:ascii="Times" w:hAnsi="Times" w:cs="Times"/>
        </w:rPr>
      </w:pPr>
    </w:p>
    <w:p w:rsidR="00D21E3E" w:rsidRPr="00FC173E" w:rsidRDefault="00D21E3E" w:rsidP="00D21E3E">
      <w:pPr>
        <w:pStyle w:val="ListParagraph"/>
        <w:widowControl w:val="0"/>
        <w:numPr>
          <w:ilvl w:val="0"/>
          <w:numId w:val="1"/>
        </w:numPr>
        <w:autoSpaceDE w:val="0"/>
        <w:autoSpaceDN w:val="0"/>
        <w:adjustRightInd w:val="0"/>
        <w:spacing w:after="240"/>
        <w:rPr>
          <w:rFonts w:ascii="Times" w:hAnsi="Times" w:cs="Times"/>
        </w:rPr>
      </w:pPr>
      <w:r w:rsidRPr="00FC173E">
        <w:t>Approve annual assessment plan for GE </w:t>
      </w:r>
    </w:p>
    <w:p w:rsidR="00D21E3E" w:rsidRPr="003755BD" w:rsidRDefault="00D21E3E" w:rsidP="00D21E3E">
      <w:pPr>
        <w:rPr>
          <w:rFonts w:asciiTheme="majorHAnsi" w:hAnsiTheme="majorHAnsi"/>
          <w:szCs w:val="24"/>
        </w:rPr>
      </w:pPr>
    </w:p>
    <w:p w:rsidR="00D21E3E" w:rsidRPr="003755BD" w:rsidRDefault="00D21E3E" w:rsidP="00D21E3E">
      <w:pPr>
        <w:rPr>
          <w:rFonts w:asciiTheme="majorHAnsi" w:hAnsiTheme="majorHAnsi"/>
          <w:szCs w:val="24"/>
        </w:rPr>
      </w:pPr>
    </w:p>
    <w:p w:rsidR="00D21E3E" w:rsidRDefault="00D21E3E" w:rsidP="00D21E3E">
      <w:pPr>
        <w:widowControl w:val="0"/>
        <w:autoSpaceDE w:val="0"/>
        <w:autoSpaceDN w:val="0"/>
        <w:adjustRightInd w:val="0"/>
        <w:rPr>
          <w:rFonts w:asciiTheme="majorHAnsi" w:eastAsia="MS Mincho" w:hAnsiTheme="majorHAnsi" w:cs="Calibri"/>
          <w:color w:val="FB0007"/>
          <w:szCs w:val="24"/>
        </w:rPr>
      </w:pPr>
      <w:r>
        <w:rPr>
          <w:rFonts w:asciiTheme="majorHAnsi" w:eastAsia="MS Mincho" w:hAnsiTheme="majorHAnsi" w:cs="Calibri"/>
          <w:b/>
          <w:bCs/>
          <w:szCs w:val="24"/>
        </w:rPr>
        <w:t>Meeting times:</w:t>
      </w:r>
      <w:r w:rsidRPr="003755BD">
        <w:rPr>
          <w:rFonts w:asciiTheme="majorHAnsi" w:eastAsia="MS Mincho" w:hAnsiTheme="majorHAnsi" w:cs="Calibri"/>
          <w:szCs w:val="24"/>
        </w:rPr>
        <w:t xml:space="preserve"> Thursdays 10:00-11:30am MARK 421</w:t>
      </w:r>
      <w:r w:rsidRPr="003755BD">
        <w:rPr>
          <w:rFonts w:asciiTheme="majorHAnsi" w:eastAsia="MS Mincho" w:hAnsiTheme="majorHAnsi" w:cs="Calibri"/>
          <w:color w:val="FB0007"/>
          <w:szCs w:val="24"/>
        </w:rPr>
        <w:t xml:space="preserve"> </w:t>
      </w:r>
    </w:p>
    <w:p w:rsidR="00D21E3E" w:rsidRDefault="00D21E3E" w:rsidP="00D21E3E">
      <w:pPr>
        <w:widowControl w:val="0"/>
        <w:autoSpaceDE w:val="0"/>
        <w:autoSpaceDN w:val="0"/>
        <w:adjustRightInd w:val="0"/>
        <w:rPr>
          <w:rFonts w:asciiTheme="majorHAnsi" w:eastAsia="MS Mincho" w:hAnsiTheme="majorHAnsi" w:cs="Calibri"/>
          <w:szCs w:val="24"/>
        </w:rPr>
      </w:pPr>
      <w:r w:rsidRPr="003755BD">
        <w:rPr>
          <w:rFonts w:asciiTheme="majorHAnsi" w:eastAsia="MS Mincho" w:hAnsiTheme="majorHAnsi" w:cs="Calibri"/>
          <w:szCs w:val="24"/>
        </w:rPr>
        <w:t>(Chair, Marshall Whittlesey, CSM)</w:t>
      </w:r>
    </w:p>
    <w:p w:rsidR="00D21E3E" w:rsidRPr="003755BD" w:rsidRDefault="00D21E3E" w:rsidP="00D21E3E">
      <w:pPr>
        <w:widowControl w:val="0"/>
        <w:autoSpaceDE w:val="0"/>
        <w:autoSpaceDN w:val="0"/>
        <w:adjustRightInd w:val="0"/>
        <w:rPr>
          <w:rFonts w:asciiTheme="majorHAnsi" w:eastAsia="MS Mincho" w:hAnsiTheme="majorHAnsi" w:cs="Calibri"/>
          <w:szCs w:val="24"/>
        </w:rPr>
      </w:pPr>
      <w:r>
        <w:rPr>
          <w:rFonts w:asciiTheme="majorHAnsi" w:eastAsia="MS Mincho" w:hAnsiTheme="majorHAnsi" w:cs="Calibri"/>
          <w:szCs w:val="24"/>
        </w:rPr>
        <w:t>Vacant Seats:  CEHHS- SOE, CEHHS- HA, CEHHS - HA</w:t>
      </w:r>
    </w:p>
    <w:p w:rsidR="00BF3A18" w:rsidRDefault="00BF3A18"/>
    <w:sectPr w:rsidR="00BF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E1CBE"/>
    <w:multiLevelType w:val="hybridMultilevel"/>
    <w:tmpl w:val="35B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3E"/>
    <w:rsid w:val="00BF3A18"/>
    <w:rsid w:val="00D2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E3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E3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1</cp:revision>
  <dcterms:created xsi:type="dcterms:W3CDTF">2014-08-25T19:30:00Z</dcterms:created>
  <dcterms:modified xsi:type="dcterms:W3CDTF">2014-08-25T19:32:00Z</dcterms:modified>
</cp:coreProperties>
</file>