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6F8" w:rsidRDefault="00FF76F8" w:rsidP="00B46378">
      <w:pPr>
        <w:jc w:val="center"/>
        <w:rPr>
          <w:b/>
        </w:rPr>
      </w:pPr>
      <w:bookmarkStart w:id="0" w:name="_GoBack"/>
      <w:bookmarkEnd w:id="0"/>
      <w:r w:rsidRPr="00FF76F8">
        <w:rPr>
          <w:b/>
        </w:rPr>
        <w:t>Report on Written Communication</w:t>
      </w:r>
      <w:r w:rsidR="00CF02D0">
        <w:rPr>
          <w:b/>
        </w:rPr>
        <w:t xml:space="preserve"> </w:t>
      </w:r>
      <w:r w:rsidR="009A4DFD">
        <w:rPr>
          <w:b/>
        </w:rPr>
        <w:t>A</w:t>
      </w:r>
      <w:r w:rsidR="00CF02D0">
        <w:rPr>
          <w:b/>
        </w:rPr>
        <w:t>ssessment</w:t>
      </w:r>
      <w:r w:rsidR="009A4DFD">
        <w:rPr>
          <w:b/>
        </w:rPr>
        <w:t xml:space="preserve"> WASC</w:t>
      </w:r>
    </w:p>
    <w:p w:rsidR="00CF02D0" w:rsidRPr="00FF76F8" w:rsidRDefault="00CF02D0" w:rsidP="00B46378">
      <w:pPr>
        <w:jc w:val="center"/>
        <w:rPr>
          <w:b/>
        </w:rPr>
      </w:pPr>
      <w:r>
        <w:rPr>
          <w:b/>
        </w:rPr>
        <w:t>Spring 2014</w:t>
      </w:r>
    </w:p>
    <w:p w:rsidR="00FF76F8" w:rsidRPr="00FF76F8" w:rsidRDefault="00FF76F8" w:rsidP="00B46378">
      <w:pPr>
        <w:rPr>
          <w:b/>
        </w:rPr>
      </w:pPr>
    </w:p>
    <w:p w:rsidR="00FF76F8" w:rsidRPr="00FF76F8" w:rsidRDefault="00FF76F8" w:rsidP="00FF76F8">
      <w:r w:rsidRPr="00FF76F8">
        <w:t>The assessment of written communication took place May 30th, 2014.  Catherine Cucinella, Literature and Writing Studies and Director of General Education Writing  (GEW) and seven General Education Writing (GEW) faculty, Jayne Braman, Erica Duran, Grace Kessler, Dale Metcalfe, Curry Mitchell, Pegah Motaleb, and Lauren Springer read and assessed 40 Senior General Education and 83 Senior/Major essays.</w:t>
      </w:r>
    </w:p>
    <w:p w:rsidR="00FF76F8" w:rsidRPr="00FF76F8" w:rsidRDefault="00FF76F8" w:rsidP="00FF76F8"/>
    <w:p w:rsidR="00FF76F8" w:rsidRPr="00FF76F8" w:rsidRDefault="00FF76F8" w:rsidP="00FF76F8">
      <w:r w:rsidRPr="00FF76F8">
        <w:t>The rubric used to score these essays was created based on the following Institutional Learning Outcome (draft):</w:t>
      </w:r>
    </w:p>
    <w:p w:rsidR="00FF76F8" w:rsidRPr="00FF76F8" w:rsidRDefault="00FF76F8" w:rsidP="00FF76F8"/>
    <w:p w:rsidR="00FF76F8" w:rsidRPr="00FF76F8" w:rsidRDefault="00FF76F8" w:rsidP="00FF76F8">
      <w:pPr>
        <w:ind w:left="720"/>
      </w:pPr>
      <w:r w:rsidRPr="00FF76F8">
        <w:t>Students will clearly, confidently, and effectively communicate in written form, demonstrating both an awareness of and attentiveness to diverse audiences.</w:t>
      </w:r>
    </w:p>
    <w:p w:rsidR="00FF76F8" w:rsidRPr="00FF76F8" w:rsidRDefault="00FF76F8" w:rsidP="00FF76F8">
      <w:pPr>
        <w:rPr>
          <w:b/>
        </w:rPr>
      </w:pPr>
    </w:p>
    <w:p w:rsidR="00FF76F8" w:rsidRPr="00FF76F8" w:rsidRDefault="00FF76F8" w:rsidP="00FF76F8">
      <w:pPr>
        <w:rPr>
          <w:b/>
        </w:rPr>
      </w:pPr>
      <w:r w:rsidRPr="00FF76F8">
        <w:rPr>
          <w:b/>
        </w:rPr>
        <w:t>Preparation for the session:</w:t>
      </w:r>
    </w:p>
    <w:p w:rsidR="00FF76F8" w:rsidRPr="00FF76F8" w:rsidRDefault="00FF76F8" w:rsidP="00FF76F8">
      <w:r w:rsidRPr="00FF76F8">
        <w:t>Cucinella and Mitchell selected six essays from GE and Senior essays which they read and scored independently using the rubric, created Fall 2013 by a group of faculty different from those participating in the May 30th assessment.  Cucinella and Mitchell met and normed the essays.</w:t>
      </w:r>
    </w:p>
    <w:p w:rsidR="00FF76F8" w:rsidRPr="00FF76F8" w:rsidRDefault="00FF76F8" w:rsidP="00FF76F8"/>
    <w:p w:rsidR="00FF76F8" w:rsidRPr="00FF76F8" w:rsidRDefault="00FF76F8" w:rsidP="00FF76F8">
      <w:pPr>
        <w:rPr>
          <w:b/>
        </w:rPr>
      </w:pPr>
      <w:r w:rsidRPr="00FF76F8">
        <w:t>In that planning session, Cucinella and Mitchell determined that most papers would probably need third reads because the rubric is analytic rather than holistic (see</w:t>
      </w:r>
      <w:r w:rsidR="009E6DF8">
        <w:t xml:space="preserve"> page 4</w:t>
      </w:r>
      <w:r w:rsidRPr="00FF76F8">
        <w:t xml:space="preserve">).  We also realized that we would have to use hard copies of the rubric and that the final reader would enter the scores electronically.  Although more than one person could read and score each essay on Turnitin, each scorer would override the previous score on the rubric, thus the need for the paper rubric. </w:t>
      </w:r>
      <w:r w:rsidRPr="00FF76F8">
        <w:rPr>
          <w:b/>
        </w:rPr>
        <w:t xml:space="preserve"> </w:t>
      </w:r>
    </w:p>
    <w:p w:rsidR="00FF76F8" w:rsidRPr="00FF76F8" w:rsidRDefault="00FF76F8" w:rsidP="00FF76F8">
      <w:pPr>
        <w:rPr>
          <w:b/>
        </w:rPr>
      </w:pPr>
    </w:p>
    <w:p w:rsidR="00FF76F8" w:rsidRPr="00FF76F8" w:rsidRDefault="00FF76F8" w:rsidP="00FF76F8">
      <w:pPr>
        <w:rPr>
          <w:b/>
        </w:rPr>
      </w:pPr>
      <w:r w:rsidRPr="00FF76F8">
        <w:rPr>
          <w:b/>
        </w:rPr>
        <w:t>The Assessment</w:t>
      </w:r>
    </w:p>
    <w:p w:rsidR="00FF76F8" w:rsidRPr="00FF76F8" w:rsidRDefault="00FF76F8" w:rsidP="00FF76F8">
      <w:r w:rsidRPr="00FF76F8">
        <w:t xml:space="preserve">The norming session took an hour and half.  </w:t>
      </w:r>
    </w:p>
    <w:p w:rsidR="00FF76F8" w:rsidRDefault="00FF76F8" w:rsidP="00FF76F8">
      <w:pPr>
        <w:pStyle w:val="ListParagraph"/>
        <w:numPr>
          <w:ilvl w:val="0"/>
          <w:numId w:val="7"/>
        </w:numPr>
      </w:pPr>
      <w:r w:rsidRPr="00FF76F8">
        <w:t xml:space="preserve">All the papers were read twice.  </w:t>
      </w:r>
    </w:p>
    <w:p w:rsidR="00FF76F8" w:rsidRDefault="00FF76F8" w:rsidP="00FF76F8">
      <w:pPr>
        <w:pStyle w:val="ListParagraph"/>
        <w:numPr>
          <w:ilvl w:val="1"/>
          <w:numId w:val="7"/>
        </w:numPr>
      </w:pPr>
      <w:r w:rsidRPr="00FF76F8">
        <w:t xml:space="preserve">Of the 40 GE papers, 36 were read three times. </w:t>
      </w:r>
    </w:p>
    <w:p w:rsidR="00FF76F8" w:rsidRDefault="00FF76F8" w:rsidP="00FF76F8">
      <w:pPr>
        <w:pStyle w:val="ListParagraph"/>
        <w:numPr>
          <w:ilvl w:val="1"/>
          <w:numId w:val="7"/>
        </w:numPr>
      </w:pPr>
      <w:r w:rsidRPr="00FF76F8">
        <w:t xml:space="preserve">Of the 83 </w:t>
      </w:r>
      <w:proofErr w:type="gramStart"/>
      <w:r w:rsidRPr="00FF76F8">
        <w:t>Senior</w:t>
      </w:r>
      <w:proofErr w:type="gramEnd"/>
      <w:r w:rsidRPr="00FF76F8">
        <w:t xml:space="preserve"> essays, 74 were read three times.  </w:t>
      </w:r>
    </w:p>
    <w:p w:rsidR="00FF76F8" w:rsidRDefault="00FF76F8" w:rsidP="00FF76F8">
      <w:pPr>
        <w:pStyle w:val="ListParagraph"/>
        <w:numPr>
          <w:ilvl w:val="1"/>
          <w:numId w:val="7"/>
        </w:numPr>
      </w:pPr>
      <w:r w:rsidRPr="00FF76F8">
        <w:t>One GE essay was not read because it was clearly plagiarized.</w:t>
      </w:r>
    </w:p>
    <w:p w:rsidR="00F10395" w:rsidRDefault="00F10395" w:rsidP="00FF76F8"/>
    <w:p w:rsidR="00CF0509" w:rsidRDefault="00FF76F8" w:rsidP="00FF76F8">
      <w:r w:rsidRPr="00FF76F8">
        <w:t xml:space="preserve">Based on the norming and the rubric, the group determined that a passing essay should score a “2/Adequate,” on a 4-point scale, in </w:t>
      </w:r>
      <w:r w:rsidR="00772D9C">
        <w:t xml:space="preserve">the following </w:t>
      </w:r>
      <w:r w:rsidR="000302F9">
        <w:t xml:space="preserve">three </w:t>
      </w:r>
      <w:r w:rsidR="00772D9C">
        <w:t>categories—</w:t>
      </w:r>
      <w:r w:rsidRPr="00FF76F8">
        <w:t>“Purpose,” “Organization,” and “Audience/Voice</w:t>
      </w:r>
      <w:r w:rsidR="00772D9C">
        <w:t>”–</w:t>
      </w:r>
      <w:r w:rsidRPr="00FF76F8">
        <w:t>deeming these categories critical to students’ demonstrating their understanding and mastery of the writing process.</w:t>
      </w:r>
      <w:r w:rsidR="00F10395">
        <w:t xml:space="preserve"> </w:t>
      </w:r>
    </w:p>
    <w:p w:rsidR="00CF0509" w:rsidRDefault="00CF0509" w:rsidP="00FF76F8"/>
    <w:p w:rsidR="00CF0509" w:rsidRPr="00CF0509" w:rsidRDefault="00CF0509" w:rsidP="00CF0509">
      <w:pPr>
        <w:rPr>
          <w:rFonts w:asciiTheme="minorHAnsi" w:eastAsiaTheme="minorHAnsi" w:hAnsiTheme="minorHAnsi" w:cs="Times New Roman"/>
          <w:lang w:eastAsia="en-US"/>
        </w:rPr>
      </w:pPr>
      <w:r w:rsidRPr="00CF0509">
        <w:rPr>
          <w:rFonts w:asciiTheme="minorHAnsi" w:eastAsiaTheme="minorHAnsi" w:hAnsiTheme="minorHAnsi" w:cs="Times New Roman"/>
          <w:lang w:eastAsia="en-US"/>
        </w:rPr>
        <w:t>However, the final results indicate that considering all four</w:t>
      </w:r>
      <w:r w:rsidR="003C1DCD">
        <w:rPr>
          <w:rFonts w:asciiTheme="minorHAnsi" w:eastAsiaTheme="minorHAnsi" w:hAnsiTheme="minorHAnsi" w:cs="Times New Roman"/>
          <w:lang w:eastAsia="en-US"/>
        </w:rPr>
        <w:t xml:space="preserve"> categories,</w:t>
      </w:r>
      <w:r w:rsidRPr="00CF0509">
        <w:rPr>
          <w:rFonts w:asciiTheme="minorHAnsi" w:eastAsiaTheme="minorHAnsi" w:hAnsiTheme="minorHAnsi" w:cs="Times New Roman"/>
          <w:lang w:eastAsia="en-US"/>
        </w:rPr>
        <w:t xml:space="preserve"> </w:t>
      </w:r>
      <w:r>
        <w:rPr>
          <w:rFonts w:asciiTheme="minorHAnsi" w:eastAsiaTheme="minorHAnsi" w:hAnsiTheme="minorHAnsi" w:cs="Times New Roman"/>
          <w:lang w:eastAsia="en-US"/>
        </w:rPr>
        <w:t>rather than three</w:t>
      </w:r>
      <w:r w:rsidR="003C1DCD">
        <w:rPr>
          <w:rFonts w:asciiTheme="minorHAnsi" w:eastAsiaTheme="minorHAnsi" w:hAnsiTheme="minorHAnsi" w:cs="Times New Roman"/>
          <w:lang w:eastAsia="en-US"/>
        </w:rPr>
        <w:t>,</w:t>
      </w:r>
      <w:r>
        <w:rPr>
          <w:rFonts w:asciiTheme="minorHAnsi" w:eastAsiaTheme="minorHAnsi" w:hAnsiTheme="minorHAnsi" w:cs="Times New Roman"/>
          <w:lang w:eastAsia="en-US"/>
        </w:rPr>
        <w:t xml:space="preserve"> </w:t>
      </w:r>
      <w:r w:rsidRPr="00CF0509">
        <w:rPr>
          <w:rFonts w:asciiTheme="minorHAnsi" w:eastAsiaTheme="minorHAnsi" w:hAnsiTheme="minorHAnsi" w:cs="Times New Roman"/>
          <w:lang w:eastAsia="en-US"/>
        </w:rPr>
        <w:t>for determining a passing paper is not statistically significant:</w:t>
      </w:r>
    </w:p>
    <w:p w:rsidR="00CF0509" w:rsidRPr="00CF0509" w:rsidRDefault="00CF0509" w:rsidP="00CF0509">
      <w:pPr>
        <w:numPr>
          <w:ilvl w:val="0"/>
          <w:numId w:val="8"/>
        </w:numPr>
        <w:contextualSpacing/>
        <w:rPr>
          <w:rFonts w:asciiTheme="minorHAnsi" w:eastAsiaTheme="minorHAnsi" w:hAnsiTheme="minorHAnsi" w:cs="Times New Roman"/>
          <w:lang w:eastAsia="en-US"/>
        </w:rPr>
      </w:pPr>
      <w:r w:rsidRPr="00CF0509">
        <w:rPr>
          <w:rFonts w:asciiTheme="minorHAnsi" w:eastAsiaTheme="minorHAnsi" w:hAnsiTheme="minorHAnsi" w:cs="Times New Roman"/>
          <w:lang w:eastAsia="en-US"/>
        </w:rPr>
        <w:t>Percentage of students who passed with a 2 on Purpose, Organization and Audience/Voice:   93.4%</w:t>
      </w:r>
    </w:p>
    <w:p w:rsidR="00FF76F8" w:rsidRPr="00FF76F8" w:rsidRDefault="00CF0509" w:rsidP="00CF0509">
      <w:pPr>
        <w:pStyle w:val="ListParagraph"/>
        <w:numPr>
          <w:ilvl w:val="0"/>
          <w:numId w:val="8"/>
        </w:numPr>
      </w:pPr>
      <w:r w:rsidRPr="00CF0509">
        <w:rPr>
          <w:rFonts w:asciiTheme="minorHAnsi" w:eastAsiaTheme="minorHAnsi" w:hAnsiTheme="minorHAnsi" w:cs="Times New Roman"/>
          <w:lang w:eastAsia="en-US"/>
        </w:rPr>
        <w:t>Percentage of students who passed with a 2 on all 4 criteria:  92.6%</w:t>
      </w:r>
      <w:r w:rsidR="00F10395">
        <w:t xml:space="preserve"> </w:t>
      </w:r>
      <w:r w:rsidR="00FF76F8" w:rsidRPr="00FF76F8">
        <w:t xml:space="preserve">   </w:t>
      </w:r>
    </w:p>
    <w:p w:rsidR="00FF76F8" w:rsidRPr="00FF76F8" w:rsidRDefault="00FF76F8" w:rsidP="00FF76F8">
      <w:r w:rsidRPr="00FF76F8">
        <w:lastRenderedPageBreak/>
        <w:t xml:space="preserve">The </w:t>
      </w:r>
      <w:r w:rsidR="00772D9C">
        <w:t xml:space="preserve">data </w:t>
      </w:r>
      <w:r w:rsidRPr="00FF76F8">
        <w:t xml:space="preserve">provide interesting patterns of strengths.  </w:t>
      </w:r>
      <w:r w:rsidR="00772D9C">
        <w:t xml:space="preserve">You will </w:t>
      </w:r>
      <w:r w:rsidRPr="00FF76F8">
        <w:t xml:space="preserve">see papers with “excellent” purpose, but “strong” organization because the writer falters a bit in developing the purpose.   </w:t>
      </w:r>
      <w:r w:rsidR="009E6DF8">
        <w:t xml:space="preserve">You will </w:t>
      </w:r>
      <w:r w:rsidRPr="00FF76F8">
        <w:t>see papers strong in both “purpose” and “organization” but “adequate” in “mechanics” and “audience/voice.”</w:t>
      </w:r>
    </w:p>
    <w:p w:rsidR="00FF76F8" w:rsidRDefault="00FF76F8" w:rsidP="00FF76F8">
      <w:pPr>
        <w:rPr>
          <w:b/>
        </w:rPr>
      </w:pPr>
    </w:p>
    <w:p w:rsidR="005B20FF" w:rsidRPr="001244C4" w:rsidRDefault="005B20FF" w:rsidP="00FF76F8">
      <w:r>
        <w:rPr>
          <w:b/>
        </w:rPr>
        <w:t>Rec</w:t>
      </w:r>
      <w:r w:rsidR="001244C4">
        <w:rPr>
          <w:b/>
        </w:rPr>
        <w:t>ommendation</w:t>
      </w:r>
      <w:r w:rsidR="009E6DF8">
        <w:rPr>
          <w:b/>
        </w:rPr>
        <w:t>s</w:t>
      </w:r>
    </w:p>
    <w:p w:rsidR="001F4839" w:rsidRDefault="001F4839">
      <w:r>
        <w:t xml:space="preserve">Assessment matters </w:t>
      </w:r>
      <w:r w:rsidRPr="0051563E">
        <w:rPr>
          <w:i/>
        </w:rPr>
        <w:t>if</w:t>
      </w:r>
      <w:r>
        <w:t xml:space="preserve"> we make it matter—if we disseminate </w:t>
      </w:r>
      <w:r w:rsidRPr="0051563E">
        <w:rPr>
          <w:i/>
        </w:rPr>
        <w:t>and</w:t>
      </w:r>
      <w:r>
        <w:t xml:space="preserve"> discuss the results in order to figure out what we are doing well and what we can do better</w:t>
      </w:r>
      <w:r w:rsidR="00856413">
        <w:t xml:space="preserve">, </w:t>
      </w:r>
      <w:r w:rsidR="00772D9C">
        <w:t xml:space="preserve">as </w:t>
      </w:r>
      <w:r w:rsidR="00856413">
        <w:t xml:space="preserve">we use the data to improve our </w:t>
      </w:r>
      <w:r w:rsidR="00772D9C">
        <w:t>programs</w:t>
      </w:r>
      <w:r>
        <w:t xml:space="preserve">.  One of the Core Competencies Team’s </w:t>
      </w:r>
      <w:r w:rsidR="00B248C3">
        <w:t xml:space="preserve">goals </w:t>
      </w:r>
      <w:r>
        <w:t>is to initiate th</w:t>
      </w:r>
      <w:r w:rsidR="0051563E">
        <w:t>ese</w:t>
      </w:r>
      <w:r>
        <w:t xml:space="preserve"> critical step</w:t>
      </w:r>
      <w:r w:rsidR="0051563E">
        <w:t>s</w:t>
      </w:r>
      <w:r>
        <w:t xml:space="preserve"> in the assessment process.  In order to do so</w:t>
      </w:r>
      <w:r w:rsidR="00B248C3">
        <w:t>,</w:t>
      </w:r>
      <w:r>
        <w:t xml:space="preserve"> we offer the following recommendations to the University Assessment Council regarding the Report on Assessment of Written Communication.</w:t>
      </w:r>
    </w:p>
    <w:p w:rsidR="001F4839" w:rsidRDefault="001F4839"/>
    <w:p w:rsidR="00B248C3" w:rsidRDefault="00B248C3">
      <w:r>
        <w:t xml:space="preserve">We urge the UAC to share the results with the following individuals and units across campus: </w:t>
      </w:r>
    </w:p>
    <w:p w:rsidR="00B248C3" w:rsidRDefault="00B248C3"/>
    <w:p w:rsidR="0051563E" w:rsidRDefault="00B248C3" w:rsidP="008E473F">
      <w:pPr>
        <w:pStyle w:val="ListParagraph"/>
        <w:numPr>
          <w:ilvl w:val="0"/>
          <w:numId w:val="1"/>
        </w:numPr>
      </w:pPr>
      <w:r>
        <w:t>Dawn Formo, Dean of Undergraduate Studies</w:t>
      </w:r>
      <w:r w:rsidR="008E473F">
        <w:t xml:space="preserve"> </w:t>
      </w:r>
    </w:p>
    <w:p w:rsidR="00FB31B9" w:rsidRDefault="00C55AE1" w:rsidP="00C55AE1">
      <w:pPr>
        <w:pStyle w:val="ListParagraph"/>
        <w:numPr>
          <w:ilvl w:val="0"/>
          <w:numId w:val="1"/>
        </w:numPr>
      </w:pPr>
      <w:r>
        <w:t xml:space="preserve">The Associate Deans of the Colleges </w:t>
      </w:r>
      <w:r w:rsidR="008E473F">
        <w:t xml:space="preserve">(share </w:t>
      </w:r>
      <w:r>
        <w:t>report at meeting with their Deans/and Department Chairs)</w:t>
      </w:r>
      <w:r w:rsidR="003A3AB4">
        <w:t>:</w:t>
      </w:r>
    </w:p>
    <w:p w:rsidR="00C55AE1" w:rsidRDefault="00C55AE1" w:rsidP="00C55AE1">
      <w:pPr>
        <w:pStyle w:val="ListParagraph"/>
        <w:numPr>
          <w:ilvl w:val="1"/>
          <w:numId w:val="1"/>
        </w:numPr>
      </w:pPr>
      <w:r>
        <w:t xml:space="preserve">Mohammad </w:t>
      </w:r>
      <w:proofErr w:type="spellStart"/>
      <w:r>
        <w:t>Oskooruschi</w:t>
      </w:r>
      <w:proofErr w:type="spellEnd"/>
      <w:r>
        <w:t>, Associate Dean, CoBA</w:t>
      </w:r>
    </w:p>
    <w:p w:rsidR="00C55AE1" w:rsidRDefault="00C55AE1" w:rsidP="00C55AE1">
      <w:pPr>
        <w:pStyle w:val="ListParagraph"/>
        <w:numPr>
          <w:ilvl w:val="1"/>
          <w:numId w:val="1"/>
        </w:numPr>
      </w:pPr>
      <w:r>
        <w:t>Denise Garcia, Associate Dean, CEHHS</w:t>
      </w:r>
    </w:p>
    <w:p w:rsidR="00C55AE1" w:rsidRDefault="00C55AE1" w:rsidP="00C55AE1">
      <w:pPr>
        <w:pStyle w:val="ListParagraph"/>
        <w:numPr>
          <w:ilvl w:val="1"/>
          <w:numId w:val="1"/>
        </w:numPr>
      </w:pPr>
      <w:r>
        <w:t>Scott Greenwood, Associate Dean, CHABSS</w:t>
      </w:r>
    </w:p>
    <w:p w:rsidR="00C55AE1" w:rsidRDefault="00C55AE1" w:rsidP="00C55AE1">
      <w:pPr>
        <w:pStyle w:val="ListParagraph"/>
        <w:numPr>
          <w:ilvl w:val="1"/>
          <w:numId w:val="1"/>
        </w:numPr>
      </w:pPr>
      <w:r>
        <w:t>Rick Fierro, Associate Dean, CSM</w:t>
      </w:r>
    </w:p>
    <w:p w:rsidR="00C55AE1" w:rsidRDefault="00C55AE1" w:rsidP="00C55AE1">
      <w:pPr>
        <w:pStyle w:val="ListParagraph"/>
        <w:numPr>
          <w:ilvl w:val="0"/>
          <w:numId w:val="1"/>
        </w:numPr>
      </w:pPr>
      <w:r w:rsidRPr="00C55AE1">
        <w:t>Elisa Grant-Vallone</w:t>
      </w:r>
      <w:r>
        <w:t xml:space="preserve">, </w:t>
      </w:r>
      <w:r w:rsidRPr="00C55AE1">
        <w:t>Faculty Center Director</w:t>
      </w:r>
    </w:p>
    <w:p w:rsidR="00C55AE1" w:rsidRDefault="00B248C3" w:rsidP="00C55AE1">
      <w:pPr>
        <w:pStyle w:val="ListParagraph"/>
        <w:numPr>
          <w:ilvl w:val="0"/>
          <w:numId w:val="1"/>
        </w:numPr>
      </w:pPr>
      <w:r>
        <w:t>Faculty Cente</w:t>
      </w:r>
      <w:r w:rsidR="00C55AE1">
        <w:t>r Teaching and Learning Fellows</w:t>
      </w:r>
      <w:r w:rsidR="003A3AB4">
        <w:t>:</w:t>
      </w:r>
    </w:p>
    <w:p w:rsidR="00C55AE1" w:rsidRDefault="003A3AB4" w:rsidP="003A3AB4">
      <w:pPr>
        <w:pStyle w:val="ListParagraph"/>
        <w:numPr>
          <w:ilvl w:val="0"/>
          <w:numId w:val="2"/>
        </w:numPr>
      </w:pPr>
      <w:r>
        <w:t xml:space="preserve">Veronica Anover, </w:t>
      </w:r>
      <w:r w:rsidRPr="003A3AB4">
        <w:t>Faculty Fellow for Teaching &amp; Learning for the 21st Century Student</w:t>
      </w:r>
    </w:p>
    <w:p w:rsidR="003A3AB4" w:rsidRDefault="003A3AB4" w:rsidP="003A3AB4">
      <w:pPr>
        <w:pStyle w:val="ListParagraph"/>
        <w:numPr>
          <w:ilvl w:val="0"/>
          <w:numId w:val="2"/>
        </w:numPr>
      </w:pPr>
      <w:r>
        <w:t xml:space="preserve">Matthew Atherton, </w:t>
      </w:r>
      <w:r w:rsidRPr="003A3AB4">
        <w:t>Faculty Fellow for Teaching &amp; Learning for the 21st Century St</w:t>
      </w:r>
      <w:r>
        <w:t>udent</w:t>
      </w:r>
    </w:p>
    <w:p w:rsidR="003A3AB4" w:rsidRDefault="003A3AB4" w:rsidP="003A3AB4">
      <w:pPr>
        <w:pStyle w:val="ListParagraph"/>
        <w:numPr>
          <w:ilvl w:val="0"/>
          <w:numId w:val="3"/>
        </w:numPr>
      </w:pPr>
      <w:r w:rsidRPr="003A3AB4">
        <w:t xml:space="preserve">The faculty who provided student </w:t>
      </w:r>
      <w:r w:rsidR="00192ADF">
        <w:t xml:space="preserve">samples </w:t>
      </w:r>
      <w:r w:rsidRPr="003A3AB4">
        <w:t>for the assessmen</w:t>
      </w:r>
      <w:r>
        <w:t>t</w:t>
      </w:r>
    </w:p>
    <w:p w:rsidR="00772D9C" w:rsidRDefault="00772D9C" w:rsidP="003A3AB4">
      <w:pPr>
        <w:pStyle w:val="ListParagraph"/>
        <w:numPr>
          <w:ilvl w:val="0"/>
          <w:numId w:val="3"/>
        </w:numPr>
      </w:pPr>
      <w:r>
        <w:t>Executive Committee of the Academic Senate for discussion</w:t>
      </w:r>
    </w:p>
    <w:p w:rsidR="00B248C3" w:rsidRDefault="00B248C3" w:rsidP="00B248C3">
      <w:pPr>
        <w:pStyle w:val="ListParagraph"/>
        <w:numPr>
          <w:ilvl w:val="0"/>
          <w:numId w:val="3"/>
        </w:numPr>
      </w:pPr>
      <w:r>
        <w:t>Academic Senate as an informa</w:t>
      </w:r>
      <w:r w:rsidR="003A3AB4">
        <w:t>tion item</w:t>
      </w:r>
    </w:p>
    <w:p w:rsidR="00000081" w:rsidRDefault="003A3AB4" w:rsidP="00B248C3">
      <w:pPr>
        <w:pStyle w:val="ListParagraph"/>
        <w:numPr>
          <w:ilvl w:val="0"/>
          <w:numId w:val="3"/>
        </w:numPr>
      </w:pPr>
      <w:r>
        <w:t xml:space="preserve">Institutional Analysis and Research (this data can be </w:t>
      </w:r>
      <w:r w:rsidR="00B248C3">
        <w:t>link</w:t>
      </w:r>
      <w:r>
        <w:t>ed to existing data on writing)</w:t>
      </w:r>
    </w:p>
    <w:p w:rsidR="0051563E" w:rsidRDefault="0051563E" w:rsidP="0051563E"/>
    <w:p w:rsidR="008E473F" w:rsidRPr="008E473F" w:rsidRDefault="008E473F" w:rsidP="0051563E">
      <w:pPr>
        <w:rPr>
          <w:b/>
        </w:rPr>
      </w:pPr>
      <w:r>
        <w:rPr>
          <w:b/>
        </w:rPr>
        <w:t>Closing the Loop</w:t>
      </w:r>
    </w:p>
    <w:p w:rsidR="008E473F" w:rsidRDefault="0051563E" w:rsidP="0051563E">
      <w:r>
        <w:t>Disseminating the results of this assessment begins the process of “closing the loop</w:t>
      </w:r>
      <w:r w:rsidR="008E473F">
        <w:t>,</w:t>
      </w:r>
      <w:r>
        <w:t>”</w:t>
      </w:r>
      <w:r w:rsidR="008E473F">
        <w:t xml:space="preserve"> which means taking action, moving beyond circulating the reports.  </w:t>
      </w:r>
      <w:r>
        <w:t>The conversations about what the data reveal</w:t>
      </w:r>
      <w:r w:rsidR="004A39A1">
        <w:t xml:space="preserve"> can result in productive exchanges among faculty</w:t>
      </w:r>
      <w:r w:rsidR="00061D37">
        <w:t>, and the data can help faculty identify areas where institutional support is needed to further enhance teaching and learning</w:t>
      </w:r>
      <w:r w:rsidR="004A39A1">
        <w:t xml:space="preserve">.  </w:t>
      </w:r>
      <w:r w:rsidR="008E473F">
        <w:t>Therefore, the CCT team urges the UAC to share the report within this context of “taking action” and to add to the list of recommendations.</w:t>
      </w:r>
    </w:p>
    <w:p w:rsidR="008E473F" w:rsidRDefault="008E473F" w:rsidP="0051563E"/>
    <w:p w:rsidR="008E473F" w:rsidRDefault="008E473F" w:rsidP="00D3704A">
      <w:pPr>
        <w:pStyle w:val="ListParagraph"/>
        <w:numPr>
          <w:ilvl w:val="0"/>
          <w:numId w:val="6"/>
        </w:numPr>
      </w:pPr>
      <w:r>
        <w:t xml:space="preserve">Departments could evaluate the results and examine how they </w:t>
      </w:r>
      <w:r w:rsidR="00D3704A">
        <w:t xml:space="preserve">support </w:t>
      </w:r>
      <w:r>
        <w:t>writing in their major</w:t>
      </w:r>
      <w:r w:rsidR="00192ADF">
        <w:t>s</w:t>
      </w:r>
      <w:r>
        <w:t>.</w:t>
      </w:r>
    </w:p>
    <w:p w:rsidR="008E473F" w:rsidRDefault="008E473F" w:rsidP="00516E7D">
      <w:pPr>
        <w:pStyle w:val="ListParagraph"/>
        <w:numPr>
          <w:ilvl w:val="0"/>
          <w:numId w:val="6"/>
        </w:numPr>
        <w:spacing w:before="240"/>
      </w:pPr>
      <w:r>
        <w:t xml:space="preserve">Departments </w:t>
      </w:r>
      <w:r w:rsidR="006676BB">
        <w:t xml:space="preserve">could </w:t>
      </w:r>
      <w:r>
        <w:t xml:space="preserve">compare </w:t>
      </w:r>
      <w:r w:rsidR="006676BB">
        <w:t xml:space="preserve">any of their </w:t>
      </w:r>
      <w:r w:rsidR="00D3704A">
        <w:t xml:space="preserve">existing </w:t>
      </w:r>
      <w:r>
        <w:t xml:space="preserve">data on </w:t>
      </w:r>
      <w:r w:rsidR="006676BB">
        <w:t xml:space="preserve">their </w:t>
      </w:r>
      <w:r>
        <w:t>majors</w:t>
      </w:r>
      <w:r w:rsidR="00D3704A">
        <w:t>’</w:t>
      </w:r>
      <w:r>
        <w:t xml:space="preserve"> writing abilities to the institutional level data</w:t>
      </w:r>
      <w:r w:rsidR="00D3704A">
        <w:t xml:space="preserve"> (i.e. Nation</w:t>
      </w:r>
      <w:r w:rsidR="00516E7D">
        <w:t xml:space="preserve">al Survey of Student </w:t>
      </w:r>
      <w:proofErr w:type="gramStart"/>
      <w:r w:rsidR="00516E7D">
        <w:t>Engagement[</w:t>
      </w:r>
      <w:proofErr w:type="gramEnd"/>
      <w:r w:rsidR="00D3704A">
        <w:t>NSSE</w:t>
      </w:r>
      <w:r w:rsidR="00516E7D">
        <w:t>]).</w:t>
      </w:r>
    </w:p>
    <w:p w:rsidR="00516E7D" w:rsidRDefault="006676BB" w:rsidP="00516E7D">
      <w:pPr>
        <w:pStyle w:val="ListParagraph"/>
        <w:numPr>
          <w:ilvl w:val="0"/>
          <w:numId w:val="6"/>
        </w:numPr>
      </w:pPr>
      <w:r w:rsidRPr="006676BB">
        <w:t xml:space="preserve">Plagiarism was an issue raised </w:t>
      </w:r>
      <w:r>
        <w:t>in the assessment; departments could revisit their policies on plagiarism and consider how th</w:t>
      </w:r>
      <w:r w:rsidRPr="006676BB">
        <w:t>e</w:t>
      </w:r>
      <w:r>
        <w:t xml:space="preserve">y handle writing assignments </w:t>
      </w:r>
      <w:r w:rsidRPr="006676BB">
        <w:t>and plagiarism</w:t>
      </w:r>
      <w:r w:rsidR="00516E7D">
        <w:t>.</w:t>
      </w:r>
    </w:p>
    <w:p w:rsidR="006676BB" w:rsidRDefault="006676BB" w:rsidP="00516E7D">
      <w:pPr>
        <w:pStyle w:val="ListParagraph"/>
        <w:numPr>
          <w:ilvl w:val="1"/>
          <w:numId w:val="6"/>
        </w:numPr>
      </w:pPr>
      <w:r>
        <w:lastRenderedPageBreak/>
        <w:t>Should departments invite t</w:t>
      </w:r>
      <w:r w:rsidR="008E473F">
        <w:t xml:space="preserve">he Dean of Student's office </w:t>
      </w:r>
      <w:r>
        <w:t xml:space="preserve">to </w:t>
      </w:r>
      <w:r w:rsidR="008E473F">
        <w:t xml:space="preserve">communicate </w:t>
      </w:r>
      <w:r>
        <w:t xml:space="preserve">more directly </w:t>
      </w:r>
      <w:r w:rsidR="008E473F">
        <w:t xml:space="preserve">to students and faculty about plagiarism and academic honesty?  </w:t>
      </w:r>
    </w:p>
    <w:p w:rsidR="008E473F" w:rsidRDefault="006676BB" w:rsidP="008E473F">
      <w:pPr>
        <w:pStyle w:val="ListParagraph"/>
        <w:numPr>
          <w:ilvl w:val="0"/>
          <w:numId w:val="6"/>
        </w:numPr>
      </w:pPr>
      <w:r>
        <w:t xml:space="preserve">Both </w:t>
      </w:r>
      <w:r w:rsidR="008E473F">
        <w:t xml:space="preserve">TT and Lecturer faculty </w:t>
      </w:r>
      <w:r>
        <w:t xml:space="preserve">should be </w:t>
      </w:r>
      <w:r w:rsidR="008E473F">
        <w:t xml:space="preserve">involved in </w:t>
      </w:r>
      <w:r>
        <w:t>discussions about assessment results.</w:t>
      </w:r>
    </w:p>
    <w:p w:rsidR="006676BB" w:rsidRDefault="006676BB" w:rsidP="006676BB">
      <w:pPr>
        <w:pStyle w:val="ListParagraph"/>
        <w:numPr>
          <w:ilvl w:val="0"/>
          <w:numId w:val="6"/>
        </w:numPr>
      </w:pPr>
      <w:r>
        <w:t xml:space="preserve">GEW </w:t>
      </w:r>
      <w:r w:rsidR="00516E7D">
        <w:t xml:space="preserve">instructors can discuss the data at the </w:t>
      </w:r>
      <w:r>
        <w:t xml:space="preserve">spring </w:t>
      </w:r>
      <w:r w:rsidR="00516E7D">
        <w:t>2015 retreat.</w:t>
      </w:r>
    </w:p>
    <w:p w:rsidR="004A39A1" w:rsidRDefault="008E473F" w:rsidP="008E473F">
      <w:r>
        <w:t xml:space="preserve"> </w:t>
      </w:r>
      <w:r w:rsidR="004A39A1">
        <w:t xml:space="preserve">  </w:t>
      </w:r>
    </w:p>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FF76F8" w:rsidRDefault="00FF76F8" w:rsidP="008E473F"/>
    <w:p w:rsidR="000302F9" w:rsidRDefault="000302F9" w:rsidP="00FF76F8">
      <w:pPr>
        <w:jc w:val="center"/>
        <w:rPr>
          <w:b/>
        </w:rPr>
      </w:pPr>
    </w:p>
    <w:p w:rsidR="000302F9" w:rsidRDefault="000302F9" w:rsidP="00FF76F8">
      <w:pPr>
        <w:jc w:val="center"/>
        <w:rPr>
          <w:b/>
        </w:rPr>
      </w:pPr>
    </w:p>
    <w:p w:rsidR="000302F9" w:rsidRDefault="000302F9" w:rsidP="00FF76F8">
      <w:pPr>
        <w:jc w:val="center"/>
        <w:rPr>
          <w:b/>
        </w:rPr>
      </w:pPr>
    </w:p>
    <w:p w:rsidR="003C1DCD" w:rsidRDefault="003C1DCD" w:rsidP="00FF76F8">
      <w:pPr>
        <w:jc w:val="center"/>
        <w:rPr>
          <w:b/>
        </w:rPr>
      </w:pPr>
    </w:p>
    <w:p w:rsidR="00FF76F8" w:rsidRDefault="00FF76F8" w:rsidP="003C1DCD">
      <w:pPr>
        <w:jc w:val="center"/>
      </w:pPr>
      <w:r>
        <w:rPr>
          <w:b/>
        </w:rPr>
        <w:lastRenderedPageBreak/>
        <w:t>Results Written Communication Spring 2014</w:t>
      </w:r>
    </w:p>
    <w:p w:rsidR="00FF76F8" w:rsidRDefault="00FF76F8" w:rsidP="00FF76F8">
      <w:pPr>
        <w:jc w:val="center"/>
      </w:pPr>
    </w:p>
    <w:p w:rsidR="00FF76F8" w:rsidRPr="00C973E3" w:rsidRDefault="00FF76F8" w:rsidP="00FF76F8">
      <w:pPr>
        <w:rPr>
          <w:b/>
          <w:color w:val="FF0000"/>
        </w:rPr>
      </w:pPr>
      <w:r>
        <w:rPr>
          <w:b/>
          <w:color w:val="FF0000"/>
        </w:rPr>
        <w:t>Total sample:  122</w:t>
      </w:r>
      <w:r w:rsidRPr="00C973E3">
        <w:rPr>
          <w:b/>
          <w:color w:val="FF0000"/>
        </w:rPr>
        <w:t xml:space="preserve"> papers</w:t>
      </w:r>
    </w:p>
    <w:tbl>
      <w:tblPr>
        <w:tblStyle w:val="TableGrid"/>
        <w:tblW w:w="0" w:type="auto"/>
        <w:tblLook w:val="04A0" w:firstRow="1" w:lastRow="0" w:firstColumn="1" w:lastColumn="0" w:noHBand="0" w:noVBand="1"/>
      </w:tblPr>
      <w:tblGrid>
        <w:gridCol w:w="3372"/>
        <w:gridCol w:w="3102"/>
        <w:gridCol w:w="3102"/>
      </w:tblGrid>
      <w:tr w:rsidR="00FF76F8" w:rsidTr="00BE3D71">
        <w:tc>
          <w:tcPr>
            <w:tcW w:w="3372" w:type="dxa"/>
          </w:tcPr>
          <w:p w:rsidR="00FF76F8" w:rsidRDefault="00FF76F8" w:rsidP="00BE3D71">
            <w:r>
              <w:t>Criterion</w:t>
            </w:r>
          </w:p>
        </w:tc>
        <w:tc>
          <w:tcPr>
            <w:tcW w:w="3102" w:type="dxa"/>
          </w:tcPr>
          <w:p w:rsidR="00FF76F8" w:rsidRDefault="00FF76F8" w:rsidP="00BE3D71">
            <w:r>
              <w:t>Mean (SD)</w:t>
            </w:r>
          </w:p>
        </w:tc>
        <w:tc>
          <w:tcPr>
            <w:tcW w:w="3102" w:type="dxa"/>
          </w:tcPr>
          <w:p w:rsidR="00FF76F8" w:rsidRDefault="00FF76F8" w:rsidP="00BE3D71">
            <w:r>
              <w:t>% of sample obtaining  a 2 or higher on the criterion</w:t>
            </w:r>
          </w:p>
        </w:tc>
      </w:tr>
      <w:tr w:rsidR="00FF76F8" w:rsidTr="00BE3D71">
        <w:tc>
          <w:tcPr>
            <w:tcW w:w="3372" w:type="dxa"/>
          </w:tcPr>
          <w:p w:rsidR="00FF76F8" w:rsidRDefault="00FF76F8" w:rsidP="00BE3D71">
            <w:r>
              <w:t>Purpose</w:t>
            </w:r>
          </w:p>
        </w:tc>
        <w:tc>
          <w:tcPr>
            <w:tcW w:w="3102" w:type="dxa"/>
          </w:tcPr>
          <w:p w:rsidR="00FF76F8" w:rsidRDefault="00FF76F8" w:rsidP="00BE3D71">
            <w:r>
              <w:t>3.05 (.80)</w:t>
            </w:r>
          </w:p>
        </w:tc>
        <w:tc>
          <w:tcPr>
            <w:tcW w:w="3102" w:type="dxa"/>
          </w:tcPr>
          <w:p w:rsidR="00FF76F8" w:rsidRDefault="00FF76F8" w:rsidP="00BE3D71">
            <w:r>
              <w:t>98.4%</w:t>
            </w:r>
          </w:p>
        </w:tc>
      </w:tr>
      <w:tr w:rsidR="00FF76F8" w:rsidTr="00BE3D71">
        <w:tc>
          <w:tcPr>
            <w:tcW w:w="3372" w:type="dxa"/>
          </w:tcPr>
          <w:p w:rsidR="00FF76F8" w:rsidRDefault="00FF76F8" w:rsidP="00BE3D71">
            <w:r>
              <w:t>Organization</w:t>
            </w:r>
          </w:p>
        </w:tc>
        <w:tc>
          <w:tcPr>
            <w:tcW w:w="3102" w:type="dxa"/>
          </w:tcPr>
          <w:p w:rsidR="00FF76F8" w:rsidRDefault="00FF76F8" w:rsidP="00BE3D71">
            <w:r>
              <w:t>2.72 (.79)</w:t>
            </w:r>
          </w:p>
        </w:tc>
        <w:tc>
          <w:tcPr>
            <w:tcW w:w="3102" w:type="dxa"/>
          </w:tcPr>
          <w:p w:rsidR="00FF76F8" w:rsidRDefault="00FF76F8" w:rsidP="00BE3D71">
            <w:r>
              <w:t>95.1%</w:t>
            </w:r>
          </w:p>
        </w:tc>
      </w:tr>
      <w:tr w:rsidR="00FF76F8" w:rsidTr="00BE3D71">
        <w:tc>
          <w:tcPr>
            <w:tcW w:w="3372" w:type="dxa"/>
          </w:tcPr>
          <w:p w:rsidR="00FF76F8" w:rsidRDefault="00FF76F8" w:rsidP="00BE3D71">
            <w:r>
              <w:t>Mechanics</w:t>
            </w:r>
          </w:p>
        </w:tc>
        <w:tc>
          <w:tcPr>
            <w:tcW w:w="3102" w:type="dxa"/>
          </w:tcPr>
          <w:p w:rsidR="00FF76F8" w:rsidRDefault="00FF76F8" w:rsidP="00BE3D71">
            <w:r>
              <w:t>2.61 (.76)</w:t>
            </w:r>
          </w:p>
        </w:tc>
        <w:tc>
          <w:tcPr>
            <w:tcW w:w="3102" w:type="dxa"/>
          </w:tcPr>
          <w:p w:rsidR="00FF76F8" w:rsidRDefault="00FF76F8" w:rsidP="00BE3D71">
            <w:r>
              <w:t>96.7%</w:t>
            </w:r>
          </w:p>
        </w:tc>
      </w:tr>
      <w:tr w:rsidR="00FF76F8" w:rsidTr="00BE3D71">
        <w:tc>
          <w:tcPr>
            <w:tcW w:w="3372" w:type="dxa"/>
          </w:tcPr>
          <w:p w:rsidR="00FF76F8" w:rsidRDefault="00FF76F8" w:rsidP="00BE3D71">
            <w:r>
              <w:t>Audience/Voice</w:t>
            </w:r>
          </w:p>
        </w:tc>
        <w:tc>
          <w:tcPr>
            <w:tcW w:w="3102" w:type="dxa"/>
          </w:tcPr>
          <w:p w:rsidR="00FF76F8" w:rsidRDefault="00FF76F8" w:rsidP="00BE3D71">
            <w:r>
              <w:t>2.93 (.78)</w:t>
            </w:r>
          </w:p>
        </w:tc>
        <w:tc>
          <w:tcPr>
            <w:tcW w:w="3102" w:type="dxa"/>
          </w:tcPr>
          <w:p w:rsidR="00FF76F8" w:rsidRDefault="00FF76F8" w:rsidP="00BE3D71">
            <w:r>
              <w:t>98.4%</w:t>
            </w:r>
          </w:p>
        </w:tc>
      </w:tr>
    </w:tbl>
    <w:p w:rsidR="00FF76F8" w:rsidRDefault="00FF76F8" w:rsidP="00FF76F8"/>
    <w:p w:rsidR="00FF76F8" w:rsidRDefault="00FF76F8" w:rsidP="00FF76F8">
      <w:r>
        <w:t>Percentage of students who passed with a 2 on Purpose, Organization and Audience/Voice:   93.4%</w:t>
      </w:r>
    </w:p>
    <w:p w:rsidR="00FF76F8" w:rsidRDefault="00FF76F8" w:rsidP="00FF76F8">
      <w:r>
        <w:t>Percentage of students who passed with a 2 on all 4 criteria:  92.6%</w:t>
      </w:r>
    </w:p>
    <w:p w:rsidR="00FF76F8" w:rsidRDefault="00FF76F8" w:rsidP="00FF76F8">
      <w:pPr>
        <w:rPr>
          <w:b/>
          <w:color w:val="FF0000"/>
        </w:rPr>
      </w:pPr>
    </w:p>
    <w:p w:rsidR="00FF76F8" w:rsidRPr="00C973E3" w:rsidRDefault="00FF76F8" w:rsidP="00FF76F8">
      <w:pPr>
        <w:rPr>
          <w:b/>
          <w:color w:val="FF0000"/>
        </w:rPr>
      </w:pPr>
      <w:r w:rsidRPr="00C973E3">
        <w:rPr>
          <w:b/>
          <w:color w:val="FF0000"/>
        </w:rPr>
        <w:t>GE sample:  39 papers</w:t>
      </w:r>
    </w:p>
    <w:tbl>
      <w:tblPr>
        <w:tblStyle w:val="TableGrid"/>
        <w:tblW w:w="0" w:type="auto"/>
        <w:tblLook w:val="04A0" w:firstRow="1" w:lastRow="0" w:firstColumn="1" w:lastColumn="0" w:noHBand="0" w:noVBand="1"/>
      </w:tblPr>
      <w:tblGrid>
        <w:gridCol w:w="3372"/>
        <w:gridCol w:w="3102"/>
        <w:gridCol w:w="3102"/>
      </w:tblGrid>
      <w:tr w:rsidR="00FF76F8" w:rsidTr="00BE3D71">
        <w:tc>
          <w:tcPr>
            <w:tcW w:w="3372" w:type="dxa"/>
          </w:tcPr>
          <w:p w:rsidR="00FF76F8" w:rsidRDefault="00FF76F8" w:rsidP="00BE3D71">
            <w:r>
              <w:t>Criterion</w:t>
            </w:r>
          </w:p>
        </w:tc>
        <w:tc>
          <w:tcPr>
            <w:tcW w:w="3102" w:type="dxa"/>
          </w:tcPr>
          <w:p w:rsidR="00FF76F8" w:rsidRDefault="00FF76F8" w:rsidP="00BE3D71">
            <w:r>
              <w:t>Mean (SD)</w:t>
            </w:r>
          </w:p>
        </w:tc>
        <w:tc>
          <w:tcPr>
            <w:tcW w:w="3102" w:type="dxa"/>
          </w:tcPr>
          <w:p w:rsidR="00FF76F8" w:rsidRDefault="00FF76F8" w:rsidP="00BE3D71">
            <w:r>
              <w:t>% of sample obtaining  a 2 or higher on the criterion</w:t>
            </w:r>
          </w:p>
        </w:tc>
      </w:tr>
      <w:tr w:rsidR="00FF76F8" w:rsidTr="00BE3D71">
        <w:tc>
          <w:tcPr>
            <w:tcW w:w="3372" w:type="dxa"/>
          </w:tcPr>
          <w:p w:rsidR="00FF76F8" w:rsidRDefault="00FF76F8" w:rsidP="00BE3D71">
            <w:r>
              <w:t>Purpose</w:t>
            </w:r>
          </w:p>
        </w:tc>
        <w:tc>
          <w:tcPr>
            <w:tcW w:w="3102" w:type="dxa"/>
          </w:tcPr>
          <w:p w:rsidR="00FF76F8" w:rsidRDefault="00FF76F8" w:rsidP="00BE3D71">
            <w:r>
              <w:t>3.15 (.88)</w:t>
            </w:r>
          </w:p>
        </w:tc>
        <w:tc>
          <w:tcPr>
            <w:tcW w:w="3102" w:type="dxa"/>
          </w:tcPr>
          <w:p w:rsidR="00FF76F8" w:rsidRDefault="00FF76F8" w:rsidP="00BE3D71">
            <w:r>
              <w:t>94.9%</w:t>
            </w:r>
          </w:p>
        </w:tc>
      </w:tr>
      <w:tr w:rsidR="00FF76F8" w:rsidTr="00BE3D71">
        <w:tc>
          <w:tcPr>
            <w:tcW w:w="3372" w:type="dxa"/>
          </w:tcPr>
          <w:p w:rsidR="00FF76F8" w:rsidRDefault="00FF76F8" w:rsidP="00BE3D71">
            <w:r>
              <w:t>Organization</w:t>
            </w:r>
          </w:p>
        </w:tc>
        <w:tc>
          <w:tcPr>
            <w:tcW w:w="3102" w:type="dxa"/>
          </w:tcPr>
          <w:p w:rsidR="00FF76F8" w:rsidRDefault="00FF76F8" w:rsidP="00BE3D71">
            <w:r>
              <w:t>2.79 (.83)</w:t>
            </w:r>
          </w:p>
        </w:tc>
        <w:tc>
          <w:tcPr>
            <w:tcW w:w="3102" w:type="dxa"/>
          </w:tcPr>
          <w:p w:rsidR="00FF76F8" w:rsidRDefault="00FF76F8" w:rsidP="00BE3D71">
            <w:r>
              <w:t>94.9%</w:t>
            </w:r>
          </w:p>
        </w:tc>
      </w:tr>
      <w:tr w:rsidR="00FF76F8" w:rsidTr="00BE3D71">
        <w:tc>
          <w:tcPr>
            <w:tcW w:w="3372" w:type="dxa"/>
          </w:tcPr>
          <w:p w:rsidR="00FF76F8" w:rsidRDefault="00FF76F8" w:rsidP="00BE3D71">
            <w:r>
              <w:t>Mechanics</w:t>
            </w:r>
          </w:p>
        </w:tc>
        <w:tc>
          <w:tcPr>
            <w:tcW w:w="3102" w:type="dxa"/>
          </w:tcPr>
          <w:p w:rsidR="00FF76F8" w:rsidRDefault="00FF76F8" w:rsidP="00BE3D71">
            <w:r>
              <w:t>2.67 (.93)</w:t>
            </w:r>
          </w:p>
        </w:tc>
        <w:tc>
          <w:tcPr>
            <w:tcW w:w="3102" w:type="dxa"/>
          </w:tcPr>
          <w:p w:rsidR="00FF76F8" w:rsidRDefault="00FF76F8" w:rsidP="00BE3D71">
            <w:r>
              <w:t>92.3%</w:t>
            </w:r>
          </w:p>
        </w:tc>
      </w:tr>
      <w:tr w:rsidR="00FF76F8" w:rsidTr="00BE3D71">
        <w:tc>
          <w:tcPr>
            <w:tcW w:w="3372" w:type="dxa"/>
          </w:tcPr>
          <w:p w:rsidR="00FF76F8" w:rsidRDefault="00FF76F8" w:rsidP="00BE3D71">
            <w:r>
              <w:t>Audience/Voice</w:t>
            </w:r>
          </w:p>
        </w:tc>
        <w:tc>
          <w:tcPr>
            <w:tcW w:w="3102" w:type="dxa"/>
          </w:tcPr>
          <w:p w:rsidR="00FF76F8" w:rsidRDefault="00FF76F8" w:rsidP="00BE3D71">
            <w:r>
              <w:t>3.13 (.80)</w:t>
            </w:r>
          </w:p>
        </w:tc>
        <w:tc>
          <w:tcPr>
            <w:tcW w:w="3102" w:type="dxa"/>
          </w:tcPr>
          <w:p w:rsidR="00FF76F8" w:rsidRDefault="00FF76F8" w:rsidP="00BE3D71">
            <w:r>
              <w:t>97.4%</w:t>
            </w:r>
          </w:p>
        </w:tc>
      </w:tr>
    </w:tbl>
    <w:p w:rsidR="00FF76F8" w:rsidRDefault="00FF76F8" w:rsidP="00FF76F8"/>
    <w:p w:rsidR="00FF76F8" w:rsidRDefault="00FF76F8" w:rsidP="00FF76F8">
      <w:r>
        <w:t>Percentage of students who passed with a 2 on Purpose, Organization and Audience/Voice:   92.3%</w:t>
      </w:r>
    </w:p>
    <w:p w:rsidR="00FF76F8" w:rsidRDefault="00FF76F8" w:rsidP="00FF76F8">
      <w:r>
        <w:t>Percentage of students who passed with a 2 on all 4 criteria:  89.8%</w:t>
      </w:r>
    </w:p>
    <w:p w:rsidR="00FF76F8" w:rsidRDefault="00FF76F8" w:rsidP="00FF76F8"/>
    <w:p w:rsidR="00FF76F8" w:rsidRPr="00C973E3" w:rsidRDefault="00FF76F8" w:rsidP="00FF76F8">
      <w:pPr>
        <w:rPr>
          <w:b/>
          <w:color w:val="FF0000"/>
        </w:rPr>
      </w:pPr>
      <w:r w:rsidRPr="00C973E3">
        <w:rPr>
          <w:b/>
          <w:color w:val="FF0000"/>
        </w:rPr>
        <w:t xml:space="preserve">Senior Discipline Courses </w:t>
      </w:r>
      <w:r>
        <w:rPr>
          <w:b/>
          <w:color w:val="FF0000"/>
        </w:rPr>
        <w:t>sample:  83</w:t>
      </w:r>
      <w:r w:rsidRPr="00C973E3">
        <w:rPr>
          <w:b/>
          <w:color w:val="FF0000"/>
        </w:rPr>
        <w:t xml:space="preserve"> papers</w:t>
      </w:r>
    </w:p>
    <w:tbl>
      <w:tblPr>
        <w:tblStyle w:val="TableGrid"/>
        <w:tblW w:w="0" w:type="auto"/>
        <w:tblLook w:val="04A0" w:firstRow="1" w:lastRow="0" w:firstColumn="1" w:lastColumn="0" w:noHBand="0" w:noVBand="1"/>
      </w:tblPr>
      <w:tblGrid>
        <w:gridCol w:w="3372"/>
        <w:gridCol w:w="3102"/>
        <w:gridCol w:w="3102"/>
      </w:tblGrid>
      <w:tr w:rsidR="00FF76F8" w:rsidTr="00BE3D71">
        <w:tc>
          <w:tcPr>
            <w:tcW w:w="3372" w:type="dxa"/>
          </w:tcPr>
          <w:p w:rsidR="00FF76F8" w:rsidRDefault="00FF76F8" w:rsidP="00BE3D71">
            <w:r>
              <w:t>Criterion</w:t>
            </w:r>
          </w:p>
        </w:tc>
        <w:tc>
          <w:tcPr>
            <w:tcW w:w="3102" w:type="dxa"/>
          </w:tcPr>
          <w:p w:rsidR="00FF76F8" w:rsidRDefault="00FF76F8" w:rsidP="00BE3D71">
            <w:r>
              <w:t>Mean (SD)</w:t>
            </w:r>
          </w:p>
        </w:tc>
        <w:tc>
          <w:tcPr>
            <w:tcW w:w="3102" w:type="dxa"/>
          </w:tcPr>
          <w:p w:rsidR="00FF76F8" w:rsidRDefault="00FF76F8" w:rsidP="00BE3D71">
            <w:r>
              <w:t>% of sample obtaining  a 2 or higher on the criterion</w:t>
            </w:r>
          </w:p>
        </w:tc>
      </w:tr>
      <w:tr w:rsidR="00FF76F8" w:rsidTr="00BE3D71">
        <w:tc>
          <w:tcPr>
            <w:tcW w:w="3372" w:type="dxa"/>
          </w:tcPr>
          <w:p w:rsidR="00FF76F8" w:rsidRDefault="00FF76F8" w:rsidP="00BE3D71">
            <w:r>
              <w:t>Purpose</w:t>
            </w:r>
          </w:p>
        </w:tc>
        <w:tc>
          <w:tcPr>
            <w:tcW w:w="3102" w:type="dxa"/>
          </w:tcPr>
          <w:p w:rsidR="00FF76F8" w:rsidRDefault="00FF76F8" w:rsidP="00BE3D71">
            <w:r>
              <w:t>3.00 (.77)</w:t>
            </w:r>
          </w:p>
        </w:tc>
        <w:tc>
          <w:tcPr>
            <w:tcW w:w="3102" w:type="dxa"/>
          </w:tcPr>
          <w:p w:rsidR="00FF76F8" w:rsidRDefault="00FF76F8" w:rsidP="00BE3D71">
            <w:r>
              <w:t>100%</w:t>
            </w:r>
          </w:p>
        </w:tc>
      </w:tr>
      <w:tr w:rsidR="00FF76F8" w:rsidTr="00BE3D71">
        <w:tc>
          <w:tcPr>
            <w:tcW w:w="3372" w:type="dxa"/>
          </w:tcPr>
          <w:p w:rsidR="00FF76F8" w:rsidRDefault="00FF76F8" w:rsidP="00BE3D71">
            <w:r>
              <w:t>Organization</w:t>
            </w:r>
          </w:p>
        </w:tc>
        <w:tc>
          <w:tcPr>
            <w:tcW w:w="3102" w:type="dxa"/>
          </w:tcPr>
          <w:p w:rsidR="00FF76F8" w:rsidRDefault="00FF76F8" w:rsidP="00BE3D71">
            <w:r>
              <w:t>2.70 (.76)</w:t>
            </w:r>
          </w:p>
        </w:tc>
        <w:tc>
          <w:tcPr>
            <w:tcW w:w="3102" w:type="dxa"/>
          </w:tcPr>
          <w:p w:rsidR="00FF76F8" w:rsidRDefault="00FF76F8" w:rsidP="00BE3D71">
            <w:r>
              <w:t>95.2%</w:t>
            </w:r>
          </w:p>
        </w:tc>
      </w:tr>
      <w:tr w:rsidR="00FF76F8" w:rsidTr="00BE3D71">
        <w:tc>
          <w:tcPr>
            <w:tcW w:w="3372" w:type="dxa"/>
          </w:tcPr>
          <w:p w:rsidR="00FF76F8" w:rsidRDefault="00FF76F8" w:rsidP="00BE3D71">
            <w:r>
              <w:t>Mechanics</w:t>
            </w:r>
          </w:p>
        </w:tc>
        <w:tc>
          <w:tcPr>
            <w:tcW w:w="3102" w:type="dxa"/>
          </w:tcPr>
          <w:p w:rsidR="00FF76F8" w:rsidRDefault="00FF76F8" w:rsidP="00BE3D71">
            <w:r>
              <w:t>2.59 (.66)</w:t>
            </w:r>
          </w:p>
        </w:tc>
        <w:tc>
          <w:tcPr>
            <w:tcW w:w="3102" w:type="dxa"/>
          </w:tcPr>
          <w:p w:rsidR="00FF76F8" w:rsidRDefault="00FF76F8" w:rsidP="00BE3D71">
            <w:r>
              <w:t>98.8%</w:t>
            </w:r>
          </w:p>
        </w:tc>
      </w:tr>
      <w:tr w:rsidR="00FF76F8" w:rsidTr="00BE3D71">
        <w:tc>
          <w:tcPr>
            <w:tcW w:w="3372" w:type="dxa"/>
          </w:tcPr>
          <w:p w:rsidR="00FF76F8" w:rsidRDefault="00FF76F8" w:rsidP="00BE3D71">
            <w:r>
              <w:t>Audience/Voice</w:t>
            </w:r>
          </w:p>
        </w:tc>
        <w:tc>
          <w:tcPr>
            <w:tcW w:w="3102" w:type="dxa"/>
          </w:tcPr>
          <w:p w:rsidR="00FF76F8" w:rsidRDefault="00FF76F8" w:rsidP="00BE3D71">
            <w:r>
              <w:t>2.83 (.76)</w:t>
            </w:r>
          </w:p>
        </w:tc>
        <w:tc>
          <w:tcPr>
            <w:tcW w:w="3102" w:type="dxa"/>
          </w:tcPr>
          <w:p w:rsidR="00FF76F8" w:rsidRDefault="00FF76F8" w:rsidP="00BE3D71">
            <w:r>
              <w:t>98.8%</w:t>
            </w:r>
          </w:p>
        </w:tc>
      </w:tr>
    </w:tbl>
    <w:p w:rsidR="00FF76F8" w:rsidRDefault="00FF76F8" w:rsidP="00FF76F8"/>
    <w:p w:rsidR="00FF76F8" w:rsidRDefault="00FF76F8" w:rsidP="00FF76F8">
      <w:r>
        <w:t>Percentage of students who passed with a 2 on Purpose, Organization and Audience/Voice:   93.9%</w:t>
      </w:r>
    </w:p>
    <w:p w:rsidR="00FF76F8" w:rsidRDefault="00FF76F8" w:rsidP="00FF76F8">
      <w:r>
        <w:t>Percentage of students who passed with a 2 on all 4 criteria:  93.9%</w:t>
      </w:r>
    </w:p>
    <w:p w:rsidR="00FF76F8" w:rsidRDefault="00FF76F8" w:rsidP="00FF76F8"/>
    <w:p w:rsidR="00FF76F8" w:rsidRDefault="00FF76F8" w:rsidP="00FF76F8">
      <w:r w:rsidRPr="0074080F">
        <w:rPr>
          <w:color w:val="FF0000"/>
        </w:rPr>
        <w:t xml:space="preserve">Summary:  </w:t>
      </w:r>
      <w:r>
        <w:t>No matter how we looked at it, students demonstrated the greatest strengths for purpose and audience/voice.  They had the most trouble with organization and mechanics.  Overall</w:t>
      </w:r>
      <w:r w:rsidR="00B904F3">
        <w:t>,</w:t>
      </w:r>
      <w:r>
        <w:t xml:space="preserve"> the majority of students met the minimum standard for each criterion.</w:t>
      </w:r>
    </w:p>
    <w:p w:rsidR="00FF76F8" w:rsidRDefault="00FF76F8" w:rsidP="00FF76F8"/>
    <w:p w:rsidR="00FF76F8" w:rsidRDefault="00FF76F8" w:rsidP="00FF76F8">
      <w:r>
        <w:t xml:space="preserve">One GE student plagiarized:  2.5% of the GE sample, 0.8% of the total sample.  </w:t>
      </w:r>
    </w:p>
    <w:p w:rsidR="00BE7B1E" w:rsidRDefault="00BE7B1E" w:rsidP="00FF76F8">
      <w:r>
        <w:tab/>
      </w:r>
      <w:r>
        <w:tab/>
      </w:r>
      <w:r>
        <w:tab/>
      </w:r>
      <w:r>
        <w:tab/>
      </w:r>
      <w:r>
        <w:tab/>
      </w:r>
      <w:r>
        <w:tab/>
      </w:r>
      <w:r>
        <w:tab/>
      </w:r>
      <w:r>
        <w:tab/>
      </w:r>
      <w:r>
        <w:tab/>
      </w:r>
      <w:r>
        <w:tab/>
        <w:t>(Sharon Hamill)</w:t>
      </w:r>
    </w:p>
    <w:p w:rsidR="00F10395" w:rsidRDefault="00F10395" w:rsidP="00FF76F8"/>
    <w:p w:rsidR="00F10395" w:rsidRDefault="00F10395" w:rsidP="00FF76F8"/>
    <w:p w:rsidR="00F10395" w:rsidRDefault="00F10395" w:rsidP="00FF76F8"/>
    <w:p w:rsidR="00FF76F8" w:rsidRDefault="003C1DCD" w:rsidP="003C1DCD">
      <w:pPr>
        <w:jc w:val="center"/>
        <w:rPr>
          <w:b/>
        </w:rPr>
      </w:pPr>
      <w:r w:rsidRPr="003C1DCD">
        <w:rPr>
          <w:b/>
        </w:rPr>
        <w:lastRenderedPageBreak/>
        <w:t>Scoring Rubric Spring 2014</w:t>
      </w:r>
    </w:p>
    <w:p w:rsidR="003C1DCD" w:rsidRDefault="003C1DCD" w:rsidP="003C1DCD">
      <w:pPr>
        <w:jc w:val="center"/>
        <w:rPr>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1915"/>
        <w:gridCol w:w="1915"/>
        <w:gridCol w:w="1915"/>
        <w:gridCol w:w="1916"/>
      </w:tblGrid>
      <w:tr w:rsidR="003C1DCD" w:rsidRPr="00E77593" w:rsidTr="007C2CE9">
        <w:tc>
          <w:tcPr>
            <w:tcW w:w="1987" w:type="dxa"/>
            <w:shd w:val="clear" w:color="auto" w:fill="auto"/>
          </w:tcPr>
          <w:p w:rsidR="003C1DCD" w:rsidRPr="00E77593" w:rsidRDefault="003C1DCD" w:rsidP="007C2CE9">
            <w:pPr>
              <w:rPr>
                <w:sz w:val="18"/>
                <w:szCs w:val="18"/>
              </w:rPr>
            </w:pPr>
          </w:p>
        </w:tc>
        <w:tc>
          <w:tcPr>
            <w:tcW w:w="1915" w:type="dxa"/>
            <w:shd w:val="clear" w:color="auto" w:fill="auto"/>
          </w:tcPr>
          <w:p w:rsidR="003C1DCD" w:rsidRPr="00E77593" w:rsidRDefault="003C1DCD" w:rsidP="007C2CE9">
            <w:pPr>
              <w:rPr>
                <w:sz w:val="18"/>
                <w:szCs w:val="18"/>
              </w:rPr>
            </w:pPr>
            <w:r>
              <w:rPr>
                <w:sz w:val="18"/>
                <w:szCs w:val="18"/>
              </w:rPr>
              <w:t xml:space="preserve"> 4 </w:t>
            </w:r>
            <w:r w:rsidRPr="00E77593">
              <w:rPr>
                <w:sz w:val="18"/>
                <w:szCs w:val="18"/>
              </w:rPr>
              <w:t>Excellent</w:t>
            </w:r>
            <w:r>
              <w:rPr>
                <w:sz w:val="18"/>
                <w:szCs w:val="18"/>
              </w:rPr>
              <w:t xml:space="preserve"> </w:t>
            </w:r>
          </w:p>
        </w:tc>
        <w:tc>
          <w:tcPr>
            <w:tcW w:w="1915" w:type="dxa"/>
            <w:shd w:val="clear" w:color="auto" w:fill="auto"/>
          </w:tcPr>
          <w:p w:rsidR="003C1DCD" w:rsidRPr="00E77593" w:rsidRDefault="003C1DCD" w:rsidP="007C2CE9">
            <w:pPr>
              <w:rPr>
                <w:sz w:val="18"/>
                <w:szCs w:val="18"/>
              </w:rPr>
            </w:pPr>
            <w:r>
              <w:rPr>
                <w:sz w:val="18"/>
                <w:szCs w:val="18"/>
              </w:rPr>
              <w:t xml:space="preserve">3 </w:t>
            </w:r>
            <w:r w:rsidRPr="00E77593">
              <w:rPr>
                <w:sz w:val="18"/>
                <w:szCs w:val="18"/>
              </w:rPr>
              <w:t>Strong</w:t>
            </w:r>
          </w:p>
        </w:tc>
        <w:tc>
          <w:tcPr>
            <w:tcW w:w="1915" w:type="dxa"/>
            <w:shd w:val="clear" w:color="auto" w:fill="auto"/>
          </w:tcPr>
          <w:p w:rsidR="003C1DCD" w:rsidRPr="00E77593" w:rsidRDefault="003C1DCD" w:rsidP="007C2CE9">
            <w:pPr>
              <w:rPr>
                <w:sz w:val="18"/>
                <w:szCs w:val="18"/>
              </w:rPr>
            </w:pPr>
            <w:r>
              <w:rPr>
                <w:sz w:val="18"/>
                <w:szCs w:val="18"/>
              </w:rPr>
              <w:t xml:space="preserve">2 </w:t>
            </w:r>
            <w:r w:rsidRPr="00E77593">
              <w:rPr>
                <w:sz w:val="18"/>
                <w:szCs w:val="18"/>
              </w:rPr>
              <w:t>Adequate</w:t>
            </w:r>
          </w:p>
        </w:tc>
        <w:tc>
          <w:tcPr>
            <w:tcW w:w="1916" w:type="dxa"/>
            <w:shd w:val="clear" w:color="auto" w:fill="auto"/>
          </w:tcPr>
          <w:p w:rsidR="003C1DCD" w:rsidRPr="00E77593" w:rsidRDefault="003C1DCD" w:rsidP="007C2CE9">
            <w:pPr>
              <w:rPr>
                <w:sz w:val="18"/>
                <w:szCs w:val="18"/>
              </w:rPr>
            </w:pPr>
            <w:r>
              <w:rPr>
                <w:sz w:val="18"/>
                <w:szCs w:val="18"/>
              </w:rPr>
              <w:t xml:space="preserve">1 </w:t>
            </w:r>
            <w:r w:rsidRPr="00E77593">
              <w:rPr>
                <w:sz w:val="18"/>
                <w:szCs w:val="18"/>
              </w:rPr>
              <w:t>Needs Improvement</w:t>
            </w:r>
          </w:p>
        </w:tc>
      </w:tr>
      <w:tr w:rsidR="003C1DCD" w:rsidRPr="00E77593" w:rsidTr="007C2CE9">
        <w:tc>
          <w:tcPr>
            <w:tcW w:w="1987" w:type="dxa"/>
            <w:shd w:val="clear" w:color="auto" w:fill="auto"/>
          </w:tcPr>
          <w:p w:rsidR="003C1DCD" w:rsidRPr="00E77593" w:rsidRDefault="003C1DCD" w:rsidP="007C2CE9">
            <w:pPr>
              <w:rPr>
                <w:sz w:val="18"/>
                <w:szCs w:val="18"/>
              </w:rPr>
            </w:pPr>
            <w:r w:rsidRPr="00E77593">
              <w:rPr>
                <w:sz w:val="18"/>
                <w:szCs w:val="18"/>
              </w:rPr>
              <w:t>Purpose</w:t>
            </w:r>
          </w:p>
          <w:p w:rsidR="003C1DCD" w:rsidRPr="00E77593" w:rsidRDefault="003C1DCD" w:rsidP="007C2CE9">
            <w:pPr>
              <w:rPr>
                <w:sz w:val="18"/>
                <w:szCs w:val="18"/>
              </w:rPr>
            </w:pPr>
            <w:r w:rsidRPr="00E77593">
              <w:rPr>
                <w:sz w:val="18"/>
                <w:szCs w:val="18"/>
              </w:rPr>
              <w:t>measures clarity: demonstrated in a well-defined/distinct controlling idea (thesis, dominant impression), in consistent/logical connections among ideas, and in the control of excess (language/material)</w:t>
            </w:r>
          </w:p>
        </w:tc>
        <w:tc>
          <w:tcPr>
            <w:tcW w:w="1915" w:type="dxa"/>
            <w:shd w:val="clear" w:color="auto" w:fill="auto"/>
          </w:tcPr>
          <w:p w:rsidR="003C1DCD" w:rsidRPr="00E77593" w:rsidRDefault="003C1DCD" w:rsidP="007C2CE9">
            <w:pPr>
              <w:rPr>
                <w:sz w:val="18"/>
                <w:szCs w:val="18"/>
              </w:rPr>
            </w:pPr>
            <w:r w:rsidRPr="00E77593">
              <w:rPr>
                <w:sz w:val="18"/>
                <w:szCs w:val="18"/>
              </w:rPr>
              <w:t>Establishes clear purpose and conceptual coherence, which effectively conveys meaning and promotes ease of understanding.</w:t>
            </w:r>
          </w:p>
        </w:tc>
        <w:tc>
          <w:tcPr>
            <w:tcW w:w="1915" w:type="dxa"/>
            <w:shd w:val="clear" w:color="auto" w:fill="auto"/>
          </w:tcPr>
          <w:p w:rsidR="003C1DCD" w:rsidRPr="00E77593" w:rsidRDefault="003C1DCD" w:rsidP="007C2CE9">
            <w:pPr>
              <w:rPr>
                <w:sz w:val="18"/>
                <w:szCs w:val="18"/>
              </w:rPr>
            </w:pPr>
            <w:r w:rsidRPr="00E77593">
              <w:rPr>
                <w:sz w:val="18"/>
                <w:szCs w:val="18"/>
              </w:rPr>
              <w:t>Demonstrates purpose and conceptual coherence, but contains some tangential content or redundant language, which while conveying meaning, can affect ease of understanding.</w:t>
            </w:r>
          </w:p>
        </w:tc>
        <w:tc>
          <w:tcPr>
            <w:tcW w:w="1915" w:type="dxa"/>
            <w:shd w:val="clear" w:color="auto" w:fill="auto"/>
          </w:tcPr>
          <w:p w:rsidR="003C1DCD" w:rsidRPr="00E77593" w:rsidRDefault="003C1DCD" w:rsidP="007C2CE9">
            <w:pPr>
              <w:rPr>
                <w:sz w:val="18"/>
                <w:szCs w:val="18"/>
              </w:rPr>
            </w:pPr>
            <w:r w:rsidRPr="00E77593">
              <w:rPr>
                <w:sz w:val="18"/>
                <w:szCs w:val="18"/>
              </w:rPr>
              <w:t>Generally shows purpose and conceptual coherence, but contains redundant language or irrelevant content, which does convey meaning but at times interferes with ease of understanding.</w:t>
            </w:r>
          </w:p>
        </w:tc>
        <w:tc>
          <w:tcPr>
            <w:tcW w:w="1916" w:type="dxa"/>
            <w:shd w:val="clear" w:color="auto" w:fill="auto"/>
          </w:tcPr>
          <w:p w:rsidR="003C1DCD" w:rsidRPr="00E77593" w:rsidRDefault="003C1DCD" w:rsidP="007C2CE9">
            <w:pPr>
              <w:rPr>
                <w:sz w:val="18"/>
                <w:szCs w:val="18"/>
              </w:rPr>
            </w:pPr>
            <w:r w:rsidRPr="00E77593">
              <w:rPr>
                <w:sz w:val="18"/>
                <w:szCs w:val="18"/>
              </w:rPr>
              <w:t>Lacks a clear purpose and conceptual coherence and contains redundant language and irrelevant material, all of which obscures meaning and inhibits the readability of the paper.</w:t>
            </w:r>
          </w:p>
        </w:tc>
      </w:tr>
      <w:tr w:rsidR="003C1DCD" w:rsidRPr="00E77593" w:rsidTr="007C2CE9">
        <w:tc>
          <w:tcPr>
            <w:tcW w:w="1987" w:type="dxa"/>
            <w:shd w:val="clear" w:color="auto" w:fill="auto"/>
          </w:tcPr>
          <w:p w:rsidR="003C1DCD" w:rsidRPr="00E77593" w:rsidRDefault="003C1DCD" w:rsidP="007C2CE9">
            <w:pPr>
              <w:rPr>
                <w:sz w:val="18"/>
                <w:szCs w:val="18"/>
              </w:rPr>
            </w:pPr>
            <w:r w:rsidRPr="00E77593">
              <w:rPr>
                <w:sz w:val="18"/>
                <w:szCs w:val="18"/>
              </w:rPr>
              <w:t>Organization</w:t>
            </w:r>
          </w:p>
          <w:p w:rsidR="003C1DCD" w:rsidRPr="00E77593" w:rsidRDefault="003C1DCD" w:rsidP="007C2CE9">
            <w:pPr>
              <w:rPr>
                <w:sz w:val="18"/>
                <w:szCs w:val="18"/>
              </w:rPr>
            </w:pPr>
            <w:r w:rsidRPr="00E77593">
              <w:rPr>
                <w:sz w:val="18"/>
                <w:szCs w:val="18"/>
              </w:rPr>
              <w:t>measures the unity of ideas: logical structures (within and between paragraphs), a progression of ideas and objective (thesis, controlling idea, purpose of the assignment)</w:t>
            </w:r>
          </w:p>
          <w:p w:rsidR="003C1DCD" w:rsidRPr="00E77593" w:rsidRDefault="003C1DCD" w:rsidP="007C2CE9">
            <w:pPr>
              <w:rPr>
                <w:sz w:val="18"/>
                <w:szCs w:val="18"/>
              </w:rPr>
            </w:pPr>
          </w:p>
        </w:tc>
        <w:tc>
          <w:tcPr>
            <w:tcW w:w="1915" w:type="dxa"/>
            <w:shd w:val="clear" w:color="auto" w:fill="auto"/>
          </w:tcPr>
          <w:p w:rsidR="003C1DCD" w:rsidRPr="00E77593" w:rsidRDefault="003C1DCD" w:rsidP="007C2CE9">
            <w:pPr>
              <w:rPr>
                <w:sz w:val="18"/>
                <w:szCs w:val="18"/>
              </w:rPr>
            </w:pPr>
            <w:r w:rsidRPr="00E77593">
              <w:rPr>
                <w:sz w:val="18"/>
                <w:szCs w:val="18"/>
              </w:rPr>
              <w:t>All aspects of the writing are unified and coherently advance the objective (thesis, controlling idea, purpose) of the assignment.</w:t>
            </w:r>
          </w:p>
        </w:tc>
        <w:tc>
          <w:tcPr>
            <w:tcW w:w="1915" w:type="dxa"/>
            <w:shd w:val="clear" w:color="auto" w:fill="auto"/>
          </w:tcPr>
          <w:p w:rsidR="003C1DCD" w:rsidRPr="00E77593" w:rsidRDefault="003C1DCD" w:rsidP="007C2CE9">
            <w:pPr>
              <w:rPr>
                <w:sz w:val="18"/>
                <w:szCs w:val="18"/>
              </w:rPr>
            </w:pPr>
            <w:r w:rsidRPr="00E77593">
              <w:rPr>
                <w:sz w:val="18"/>
                <w:szCs w:val="18"/>
              </w:rPr>
              <w:t xml:space="preserve">Demonstrates a well- organized discussion in which most paragraphs are focused and purposeful, </w:t>
            </w:r>
            <w:r>
              <w:rPr>
                <w:sz w:val="18"/>
                <w:szCs w:val="18"/>
              </w:rPr>
              <w:t xml:space="preserve">and </w:t>
            </w:r>
            <w:r w:rsidRPr="00E77593">
              <w:rPr>
                <w:sz w:val="18"/>
                <w:szCs w:val="18"/>
              </w:rPr>
              <w:t xml:space="preserve">progress logically in order to advance the objective (thesis, controlling idea, purpose) of the </w:t>
            </w:r>
          </w:p>
          <w:p w:rsidR="003C1DCD" w:rsidRPr="00E77593" w:rsidRDefault="003C1DCD" w:rsidP="007C2CE9">
            <w:pPr>
              <w:rPr>
                <w:sz w:val="18"/>
                <w:szCs w:val="18"/>
              </w:rPr>
            </w:pPr>
            <w:proofErr w:type="gramStart"/>
            <w:r w:rsidRPr="00E77593">
              <w:rPr>
                <w:sz w:val="18"/>
                <w:szCs w:val="18"/>
              </w:rPr>
              <w:t>assignment</w:t>
            </w:r>
            <w:proofErr w:type="gramEnd"/>
            <w:r w:rsidRPr="00E77593">
              <w:rPr>
                <w:sz w:val="18"/>
                <w:szCs w:val="18"/>
              </w:rPr>
              <w:t xml:space="preserve">. </w:t>
            </w:r>
          </w:p>
        </w:tc>
        <w:tc>
          <w:tcPr>
            <w:tcW w:w="1915" w:type="dxa"/>
            <w:shd w:val="clear" w:color="auto" w:fill="auto"/>
          </w:tcPr>
          <w:p w:rsidR="003C1DCD" w:rsidRPr="00E77593" w:rsidRDefault="003C1DCD" w:rsidP="007C2CE9">
            <w:pPr>
              <w:rPr>
                <w:sz w:val="18"/>
                <w:szCs w:val="18"/>
              </w:rPr>
            </w:pPr>
            <w:r w:rsidRPr="00E77593">
              <w:rPr>
                <w:sz w:val="18"/>
                <w:szCs w:val="18"/>
              </w:rPr>
              <w:t>Generally clear logical progression within and/or between points to advance the objective (thesis, controlling idea, purpose) of the assignment.  Some paragraphs may be out of order or contain too many ideas.</w:t>
            </w:r>
          </w:p>
        </w:tc>
        <w:tc>
          <w:tcPr>
            <w:tcW w:w="1916" w:type="dxa"/>
            <w:shd w:val="clear" w:color="auto" w:fill="auto"/>
          </w:tcPr>
          <w:p w:rsidR="003C1DCD" w:rsidRPr="00E77593" w:rsidRDefault="003C1DCD" w:rsidP="007C2CE9">
            <w:pPr>
              <w:rPr>
                <w:sz w:val="18"/>
                <w:szCs w:val="18"/>
              </w:rPr>
            </w:pPr>
            <w:r w:rsidRPr="00E77593">
              <w:rPr>
                <w:sz w:val="18"/>
                <w:szCs w:val="18"/>
              </w:rPr>
              <w:t xml:space="preserve">Lacks clear organization, containing many unfocused paragraphs.  Does not provide connections among paragraphs, to the main points or to the objective (thesis, controlling idea, purpose) of the </w:t>
            </w:r>
          </w:p>
          <w:p w:rsidR="003C1DCD" w:rsidRPr="00E77593" w:rsidRDefault="003C1DCD" w:rsidP="007C2CE9">
            <w:pPr>
              <w:rPr>
                <w:sz w:val="18"/>
                <w:szCs w:val="18"/>
              </w:rPr>
            </w:pPr>
            <w:proofErr w:type="gramStart"/>
            <w:r w:rsidRPr="00E77593">
              <w:rPr>
                <w:sz w:val="18"/>
                <w:szCs w:val="18"/>
              </w:rPr>
              <w:t>assignment</w:t>
            </w:r>
            <w:proofErr w:type="gramEnd"/>
            <w:r w:rsidRPr="00E77593">
              <w:rPr>
                <w:sz w:val="18"/>
                <w:szCs w:val="18"/>
              </w:rPr>
              <w:t>.</w:t>
            </w:r>
          </w:p>
        </w:tc>
      </w:tr>
      <w:tr w:rsidR="003C1DCD" w:rsidRPr="00E77593" w:rsidTr="007C2CE9">
        <w:tc>
          <w:tcPr>
            <w:tcW w:w="1987" w:type="dxa"/>
            <w:shd w:val="clear" w:color="auto" w:fill="auto"/>
          </w:tcPr>
          <w:p w:rsidR="003C1DCD" w:rsidRPr="00E77593" w:rsidRDefault="003C1DCD" w:rsidP="007C2CE9">
            <w:pPr>
              <w:rPr>
                <w:sz w:val="18"/>
                <w:szCs w:val="18"/>
              </w:rPr>
            </w:pPr>
            <w:r w:rsidRPr="00E77593">
              <w:rPr>
                <w:sz w:val="18"/>
                <w:szCs w:val="18"/>
              </w:rPr>
              <w:t>Mechanics</w:t>
            </w:r>
          </w:p>
          <w:p w:rsidR="003C1DCD" w:rsidRPr="00E77593" w:rsidRDefault="003C1DCD" w:rsidP="007C2CE9">
            <w:pPr>
              <w:rPr>
                <w:sz w:val="18"/>
                <w:szCs w:val="18"/>
              </w:rPr>
            </w:pPr>
            <w:r w:rsidRPr="00E77593">
              <w:rPr>
                <w:sz w:val="18"/>
                <w:szCs w:val="18"/>
              </w:rPr>
              <w:t>measures an attention to the minutia of format, sentence boundaries, and editing</w:t>
            </w:r>
          </w:p>
          <w:p w:rsidR="003C1DCD" w:rsidRPr="00E77593" w:rsidRDefault="003C1DCD" w:rsidP="007C2CE9">
            <w:pPr>
              <w:rPr>
                <w:sz w:val="18"/>
                <w:szCs w:val="18"/>
              </w:rPr>
            </w:pPr>
          </w:p>
        </w:tc>
        <w:tc>
          <w:tcPr>
            <w:tcW w:w="1915" w:type="dxa"/>
            <w:shd w:val="clear" w:color="auto" w:fill="auto"/>
          </w:tcPr>
          <w:p w:rsidR="003C1DCD" w:rsidRPr="00E77593" w:rsidRDefault="003C1DCD" w:rsidP="007C2CE9">
            <w:pPr>
              <w:rPr>
                <w:sz w:val="18"/>
                <w:szCs w:val="18"/>
              </w:rPr>
            </w:pPr>
            <w:r w:rsidRPr="00E77593">
              <w:rPr>
                <w:sz w:val="18"/>
                <w:szCs w:val="18"/>
              </w:rPr>
              <w:t>The mechanics and usage demonstrate a mature understanding of the details of written prose and style, with few errors.  Follows documentation and format rules appropriate to assignment and discipline.</w:t>
            </w:r>
          </w:p>
        </w:tc>
        <w:tc>
          <w:tcPr>
            <w:tcW w:w="1915" w:type="dxa"/>
            <w:shd w:val="clear" w:color="auto" w:fill="auto"/>
          </w:tcPr>
          <w:p w:rsidR="003C1DCD" w:rsidRPr="00E77593" w:rsidRDefault="003C1DCD" w:rsidP="007C2CE9">
            <w:pPr>
              <w:rPr>
                <w:sz w:val="18"/>
                <w:szCs w:val="18"/>
              </w:rPr>
            </w:pPr>
            <w:r w:rsidRPr="00E77593">
              <w:rPr>
                <w:sz w:val="18"/>
                <w:szCs w:val="18"/>
              </w:rPr>
              <w:t xml:space="preserve">Well-polished and proficient grammar and usage, with few errors. Generally follows documentation and format rules appropriate to assignment and discipline. </w:t>
            </w:r>
          </w:p>
          <w:p w:rsidR="003C1DCD" w:rsidRPr="00E77593" w:rsidRDefault="003C1DCD" w:rsidP="007C2CE9">
            <w:pPr>
              <w:rPr>
                <w:sz w:val="18"/>
                <w:szCs w:val="18"/>
              </w:rPr>
            </w:pPr>
          </w:p>
        </w:tc>
        <w:tc>
          <w:tcPr>
            <w:tcW w:w="1915" w:type="dxa"/>
            <w:shd w:val="clear" w:color="auto" w:fill="auto"/>
          </w:tcPr>
          <w:p w:rsidR="003C1DCD" w:rsidRPr="00E77593" w:rsidRDefault="003C1DCD" w:rsidP="007C2CE9">
            <w:pPr>
              <w:rPr>
                <w:sz w:val="18"/>
                <w:szCs w:val="18"/>
              </w:rPr>
            </w:pPr>
            <w:r w:rsidRPr="00E77593">
              <w:rPr>
                <w:sz w:val="18"/>
                <w:szCs w:val="18"/>
              </w:rPr>
              <w:t>Occasional major or frequent minor errors in grammar, usage, and mechanics.  Inconsistent attention to documentation and format rules appropriate to assignment and discipline.</w:t>
            </w:r>
          </w:p>
        </w:tc>
        <w:tc>
          <w:tcPr>
            <w:tcW w:w="1916" w:type="dxa"/>
            <w:shd w:val="clear" w:color="auto" w:fill="auto"/>
          </w:tcPr>
          <w:p w:rsidR="003C1DCD" w:rsidRPr="00E77593" w:rsidRDefault="003C1DCD" w:rsidP="007C2CE9">
            <w:pPr>
              <w:rPr>
                <w:sz w:val="18"/>
                <w:szCs w:val="18"/>
              </w:rPr>
            </w:pPr>
            <w:r w:rsidRPr="00E77593">
              <w:rPr>
                <w:sz w:val="18"/>
                <w:szCs w:val="18"/>
              </w:rPr>
              <w:t xml:space="preserve">Accumulation of errors in grammar, usage </w:t>
            </w:r>
            <w:r>
              <w:rPr>
                <w:sz w:val="18"/>
                <w:szCs w:val="18"/>
              </w:rPr>
              <w:t xml:space="preserve">and </w:t>
            </w:r>
            <w:r w:rsidRPr="00E77593">
              <w:rPr>
                <w:sz w:val="18"/>
                <w:szCs w:val="18"/>
              </w:rPr>
              <w:t>mechanics that frequently or severely interferes with meaning. Does not follow or may disregard documentation and format rules appropriate to assignment and discipline.</w:t>
            </w:r>
          </w:p>
        </w:tc>
      </w:tr>
      <w:tr w:rsidR="003C1DCD" w:rsidRPr="00E77593" w:rsidTr="007C2CE9">
        <w:tc>
          <w:tcPr>
            <w:tcW w:w="1987" w:type="dxa"/>
            <w:shd w:val="clear" w:color="auto" w:fill="auto"/>
          </w:tcPr>
          <w:p w:rsidR="003C1DCD" w:rsidRPr="00E77593" w:rsidRDefault="003C1DCD" w:rsidP="007C2CE9">
            <w:pPr>
              <w:rPr>
                <w:sz w:val="18"/>
                <w:szCs w:val="18"/>
              </w:rPr>
            </w:pPr>
            <w:r w:rsidRPr="00E77593">
              <w:rPr>
                <w:sz w:val="18"/>
                <w:szCs w:val="18"/>
              </w:rPr>
              <w:t>Audience/Voice</w:t>
            </w:r>
          </w:p>
          <w:p w:rsidR="003C1DCD" w:rsidRPr="00E77593" w:rsidRDefault="003C1DCD" w:rsidP="007C2CE9">
            <w:pPr>
              <w:rPr>
                <w:sz w:val="18"/>
                <w:szCs w:val="18"/>
              </w:rPr>
            </w:pPr>
            <w:r w:rsidRPr="00E77593">
              <w:rPr>
                <w:sz w:val="18"/>
                <w:szCs w:val="18"/>
              </w:rPr>
              <w:t>measures an awareness of a target audience and its needs, in addition to the clarity, precision, and appropriateness of a convention style/voice</w:t>
            </w:r>
          </w:p>
        </w:tc>
        <w:tc>
          <w:tcPr>
            <w:tcW w:w="1915" w:type="dxa"/>
            <w:shd w:val="clear" w:color="auto" w:fill="auto"/>
          </w:tcPr>
          <w:p w:rsidR="003C1DCD" w:rsidRPr="00E77593" w:rsidRDefault="003C1DCD" w:rsidP="007C2CE9">
            <w:pPr>
              <w:rPr>
                <w:sz w:val="18"/>
                <w:szCs w:val="18"/>
              </w:rPr>
            </w:pPr>
            <w:r w:rsidRPr="00E77593">
              <w:rPr>
                <w:sz w:val="18"/>
                <w:szCs w:val="18"/>
              </w:rPr>
              <w:t>All aspects of the writing capture, manage, and compel the interest of a target audience, through word choice and syntax, featuring a fluency of language.</w:t>
            </w:r>
          </w:p>
        </w:tc>
        <w:tc>
          <w:tcPr>
            <w:tcW w:w="1915" w:type="dxa"/>
            <w:shd w:val="clear" w:color="auto" w:fill="auto"/>
          </w:tcPr>
          <w:p w:rsidR="003C1DCD" w:rsidRPr="00E77593" w:rsidRDefault="003C1DCD" w:rsidP="007C2CE9">
            <w:pPr>
              <w:rPr>
                <w:sz w:val="18"/>
                <w:szCs w:val="18"/>
              </w:rPr>
            </w:pPr>
            <w:r w:rsidRPr="00E77593">
              <w:rPr>
                <w:sz w:val="18"/>
                <w:szCs w:val="18"/>
              </w:rPr>
              <w:t xml:space="preserve">Most aspects of the writing meet the expectations of a target audience.  Word choice and syntax demonstrate a control of diction that effectively </w:t>
            </w:r>
            <w:proofErr w:type="gramStart"/>
            <w:r w:rsidRPr="00E77593">
              <w:rPr>
                <w:sz w:val="18"/>
                <w:szCs w:val="18"/>
              </w:rPr>
              <w:t>communicate</w:t>
            </w:r>
            <w:proofErr w:type="gramEnd"/>
            <w:r w:rsidRPr="00E77593">
              <w:rPr>
                <w:sz w:val="18"/>
                <w:szCs w:val="18"/>
              </w:rPr>
              <w:t xml:space="preserve"> the ideas.</w:t>
            </w:r>
          </w:p>
        </w:tc>
        <w:tc>
          <w:tcPr>
            <w:tcW w:w="1915" w:type="dxa"/>
            <w:shd w:val="clear" w:color="auto" w:fill="auto"/>
          </w:tcPr>
          <w:p w:rsidR="003C1DCD" w:rsidRPr="00E77593" w:rsidRDefault="003C1DCD" w:rsidP="007C2CE9">
            <w:pPr>
              <w:rPr>
                <w:sz w:val="18"/>
                <w:szCs w:val="18"/>
              </w:rPr>
            </w:pPr>
            <w:r w:rsidRPr="00E77593">
              <w:rPr>
                <w:sz w:val="18"/>
                <w:szCs w:val="18"/>
              </w:rPr>
              <w:t xml:space="preserve">Generally meets the expectations of a target audience.  Word choice and syntax generally communicate the ideas, but sometimes may be inappropriate, thus interfering with effective communication. </w:t>
            </w:r>
          </w:p>
        </w:tc>
        <w:tc>
          <w:tcPr>
            <w:tcW w:w="1916" w:type="dxa"/>
            <w:shd w:val="clear" w:color="auto" w:fill="auto"/>
          </w:tcPr>
          <w:p w:rsidR="003C1DCD" w:rsidRPr="00E77593" w:rsidRDefault="003C1DCD" w:rsidP="007C2CE9">
            <w:pPr>
              <w:rPr>
                <w:sz w:val="18"/>
                <w:szCs w:val="18"/>
              </w:rPr>
            </w:pPr>
            <w:r w:rsidRPr="00E77593">
              <w:rPr>
                <w:sz w:val="18"/>
                <w:szCs w:val="18"/>
              </w:rPr>
              <w:t>Does not demonstrate awareness or consideration for target audience.  Word choice and syntax are questionable or consistently unclear.  Does not convey ideas.</w:t>
            </w:r>
          </w:p>
        </w:tc>
      </w:tr>
    </w:tbl>
    <w:p w:rsidR="003C1DCD" w:rsidRPr="003576DE" w:rsidRDefault="003C1DCD" w:rsidP="003C1DCD">
      <w:pPr>
        <w:rPr>
          <w:sz w:val="18"/>
          <w:szCs w:val="18"/>
        </w:rPr>
      </w:pPr>
      <w:r>
        <w:rPr>
          <w:sz w:val="18"/>
          <w:szCs w:val="18"/>
        </w:rPr>
        <w:t>Parts of this rubric adapted from revised GEW rubric (2014)</w:t>
      </w:r>
    </w:p>
    <w:p w:rsidR="003C1DCD" w:rsidRPr="003C1DCD" w:rsidRDefault="003C1DCD" w:rsidP="003C1DCD">
      <w:pPr>
        <w:rPr>
          <w:b/>
        </w:rPr>
      </w:pPr>
    </w:p>
    <w:sectPr w:rsidR="003C1DCD" w:rsidRPr="003C1DC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C67" w:rsidRDefault="00267C67" w:rsidP="00D13797">
      <w:r>
        <w:separator/>
      </w:r>
    </w:p>
  </w:endnote>
  <w:endnote w:type="continuationSeparator" w:id="0">
    <w:p w:rsidR="00267C67" w:rsidRDefault="00267C67" w:rsidP="00D1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宋体">
    <w:charset w:val="50"/>
    <w:family w:val="auto"/>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微软雅黑">
    <w:panose1 w:val="00000000000000000000"/>
    <w:charset w:val="80"/>
    <w:family w:val="roman"/>
    <w:notTrueType/>
    <w:pitch w:val="default"/>
  </w:font>
  <w:font w:name="Impact">
    <w:panose1 w:val="020B080603090205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794377"/>
      <w:docPartObj>
        <w:docPartGallery w:val="Page Numbers (Bottom of Page)"/>
        <w:docPartUnique/>
      </w:docPartObj>
    </w:sdtPr>
    <w:sdtEndPr>
      <w:rPr>
        <w:noProof/>
      </w:rPr>
    </w:sdtEndPr>
    <w:sdtContent>
      <w:p w:rsidR="00D13797" w:rsidRDefault="00D13797">
        <w:pPr>
          <w:pStyle w:val="Footer"/>
          <w:jc w:val="center"/>
        </w:pPr>
        <w:r>
          <w:fldChar w:fldCharType="begin"/>
        </w:r>
        <w:r>
          <w:instrText xml:space="preserve"> PAGE   \* MERGEFORMAT </w:instrText>
        </w:r>
        <w:r>
          <w:fldChar w:fldCharType="separate"/>
        </w:r>
        <w:r w:rsidR="00E4334B">
          <w:rPr>
            <w:noProof/>
          </w:rPr>
          <w:t>2</w:t>
        </w:r>
        <w:r>
          <w:rPr>
            <w:noProof/>
          </w:rPr>
          <w:fldChar w:fldCharType="end"/>
        </w:r>
      </w:p>
    </w:sdtContent>
  </w:sdt>
  <w:p w:rsidR="00D13797" w:rsidRDefault="00D137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C67" w:rsidRDefault="00267C67" w:rsidP="00D13797">
      <w:r>
        <w:separator/>
      </w:r>
    </w:p>
  </w:footnote>
  <w:footnote w:type="continuationSeparator" w:id="0">
    <w:p w:rsidR="00267C67" w:rsidRDefault="00267C67" w:rsidP="00D1379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F7EB6"/>
    <w:multiLevelType w:val="hybridMultilevel"/>
    <w:tmpl w:val="E662BA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E60624C"/>
    <w:multiLevelType w:val="hybridMultilevel"/>
    <w:tmpl w:val="F88A5EF8"/>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5ECD35C0"/>
    <w:multiLevelType w:val="hybridMultilevel"/>
    <w:tmpl w:val="108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A84534"/>
    <w:multiLevelType w:val="hybridMultilevel"/>
    <w:tmpl w:val="AD5E7A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2D50F1"/>
    <w:multiLevelType w:val="hybridMultilevel"/>
    <w:tmpl w:val="F19EEB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26506C"/>
    <w:multiLevelType w:val="hybridMultilevel"/>
    <w:tmpl w:val="2660B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B6383C"/>
    <w:multiLevelType w:val="hybridMultilevel"/>
    <w:tmpl w:val="36DA92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4F7A8F"/>
    <w:multiLevelType w:val="hybridMultilevel"/>
    <w:tmpl w:val="D60281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4"/>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839"/>
    <w:rsid w:val="00000081"/>
    <w:rsid w:val="000302F9"/>
    <w:rsid w:val="00061D37"/>
    <w:rsid w:val="001244C4"/>
    <w:rsid w:val="00192ADF"/>
    <w:rsid w:val="001F4839"/>
    <w:rsid w:val="00267C67"/>
    <w:rsid w:val="003A3AB4"/>
    <w:rsid w:val="003C1DCD"/>
    <w:rsid w:val="004A39A1"/>
    <w:rsid w:val="0051563E"/>
    <w:rsid w:val="00516E7D"/>
    <w:rsid w:val="00542977"/>
    <w:rsid w:val="005B20FF"/>
    <w:rsid w:val="006676BB"/>
    <w:rsid w:val="00691F24"/>
    <w:rsid w:val="00772D9C"/>
    <w:rsid w:val="00856413"/>
    <w:rsid w:val="008E473F"/>
    <w:rsid w:val="009A4DFD"/>
    <w:rsid w:val="009E6DF8"/>
    <w:rsid w:val="00B248C3"/>
    <w:rsid w:val="00B414CB"/>
    <w:rsid w:val="00B46378"/>
    <w:rsid w:val="00B904F3"/>
    <w:rsid w:val="00BE7B1E"/>
    <w:rsid w:val="00C55AE1"/>
    <w:rsid w:val="00C605D2"/>
    <w:rsid w:val="00CF02D0"/>
    <w:rsid w:val="00CF0509"/>
    <w:rsid w:val="00D13797"/>
    <w:rsid w:val="00D3704A"/>
    <w:rsid w:val="00E4334B"/>
    <w:rsid w:val="00F10395"/>
    <w:rsid w:val="00FA03AC"/>
    <w:rsid w:val="00FB31B9"/>
    <w:rsid w:val="00FF7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AE1"/>
    <w:pPr>
      <w:ind w:left="720"/>
      <w:contextualSpacing/>
    </w:pPr>
  </w:style>
  <w:style w:type="table" w:styleId="TableGrid">
    <w:name w:val="Table Grid"/>
    <w:basedOn w:val="TableNormal"/>
    <w:uiPriority w:val="59"/>
    <w:rsid w:val="00FF76F8"/>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56413"/>
    <w:rPr>
      <w:sz w:val="16"/>
      <w:szCs w:val="16"/>
    </w:rPr>
  </w:style>
  <w:style w:type="paragraph" w:styleId="CommentText">
    <w:name w:val="annotation text"/>
    <w:basedOn w:val="Normal"/>
    <w:link w:val="CommentTextChar"/>
    <w:uiPriority w:val="99"/>
    <w:semiHidden/>
    <w:unhideWhenUsed/>
    <w:rsid w:val="00856413"/>
    <w:rPr>
      <w:sz w:val="20"/>
      <w:szCs w:val="20"/>
    </w:rPr>
  </w:style>
  <w:style w:type="character" w:customStyle="1" w:styleId="CommentTextChar">
    <w:name w:val="Comment Text Char"/>
    <w:basedOn w:val="DefaultParagraphFont"/>
    <w:link w:val="CommentText"/>
    <w:uiPriority w:val="99"/>
    <w:semiHidden/>
    <w:rsid w:val="00856413"/>
    <w:rPr>
      <w:sz w:val="20"/>
      <w:szCs w:val="20"/>
    </w:rPr>
  </w:style>
  <w:style w:type="paragraph" w:styleId="CommentSubject">
    <w:name w:val="annotation subject"/>
    <w:basedOn w:val="CommentText"/>
    <w:next w:val="CommentText"/>
    <w:link w:val="CommentSubjectChar"/>
    <w:uiPriority w:val="99"/>
    <w:semiHidden/>
    <w:unhideWhenUsed/>
    <w:rsid w:val="00856413"/>
    <w:rPr>
      <w:b/>
      <w:bCs/>
    </w:rPr>
  </w:style>
  <w:style w:type="character" w:customStyle="1" w:styleId="CommentSubjectChar">
    <w:name w:val="Comment Subject Char"/>
    <w:basedOn w:val="CommentTextChar"/>
    <w:link w:val="CommentSubject"/>
    <w:uiPriority w:val="99"/>
    <w:semiHidden/>
    <w:rsid w:val="00856413"/>
    <w:rPr>
      <w:b/>
      <w:bCs/>
      <w:sz w:val="20"/>
      <w:szCs w:val="20"/>
    </w:rPr>
  </w:style>
  <w:style w:type="paragraph" w:styleId="BalloonText">
    <w:name w:val="Balloon Text"/>
    <w:basedOn w:val="Normal"/>
    <w:link w:val="BalloonTextChar"/>
    <w:uiPriority w:val="99"/>
    <w:semiHidden/>
    <w:unhideWhenUsed/>
    <w:rsid w:val="00856413"/>
    <w:rPr>
      <w:rFonts w:ascii="Tahoma" w:hAnsi="Tahoma" w:cs="Tahoma"/>
      <w:sz w:val="16"/>
      <w:szCs w:val="16"/>
    </w:rPr>
  </w:style>
  <w:style w:type="character" w:customStyle="1" w:styleId="BalloonTextChar">
    <w:name w:val="Balloon Text Char"/>
    <w:basedOn w:val="DefaultParagraphFont"/>
    <w:link w:val="BalloonText"/>
    <w:uiPriority w:val="99"/>
    <w:semiHidden/>
    <w:rsid w:val="00856413"/>
    <w:rPr>
      <w:rFonts w:ascii="Tahoma" w:hAnsi="Tahoma" w:cs="Tahoma"/>
      <w:sz w:val="16"/>
      <w:szCs w:val="16"/>
    </w:rPr>
  </w:style>
  <w:style w:type="paragraph" w:styleId="Header">
    <w:name w:val="header"/>
    <w:basedOn w:val="Normal"/>
    <w:link w:val="HeaderChar"/>
    <w:uiPriority w:val="99"/>
    <w:unhideWhenUsed/>
    <w:rsid w:val="00D13797"/>
    <w:pPr>
      <w:tabs>
        <w:tab w:val="center" w:pos="4680"/>
        <w:tab w:val="right" w:pos="9360"/>
      </w:tabs>
    </w:pPr>
  </w:style>
  <w:style w:type="character" w:customStyle="1" w:styleId="HeaderChar">
    <w:name w:val="Header Char"/>
    <w:basedOn w:val="DefaultParagraphFont"/>
    <w:link w:val="Header"/>
    <w:uiPriority w:val="99"/>
    <w:rsid w:val="00D13797"/>
  </w:style>
  <w:style w:type="paragraph" w:styleId="Footer">
    <w:name w:val="footer"/>
    <w:basedOn w:val="Normal"/>
    <w:link w:val="FooterChar"/>
    <w:uiPriority w:val="99"/>
    <w:unhideWhenUsed/>
    <w:rsid w:val="00D13797"/>
    <w:pPr>
      <w:tabs>
        <w:tab w:val="center" w:pos="4680"/>
        <w:tab w:val="right" w:pos="9360"/>
      </w:tabs>
    </w:pPr>
  </w:style>
  <w:style w:type="character" w:customStyle="1" w:styleId="FooterChar">
    <w:name w:val="Footer Char"/>
    <w:basedOn w:val="DefaultParagraphFont"/>
    <w:link w:val="Footer"/>
    <w:uiPriority w:val="99"/>
    <w:rsid w:val="00D1379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AE1"/>
    <w:pPr>
      <w:ind w:left="720"/>
      <w:contextualSpacing/>
    </w:pPr>
  </w:style>
  <w:style w:type="table" w:styleId="TableGrid">
    <w:name w:val="Table Grid"/>
    <w:basedOn w:val="TableNormal"/>
    <w:uiPriority w:val="59"/>
    <w:rsid w:val="00FF76F8"/>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56413"/>
    <w:rPr>
      <w:sz w:val="16"/>
      <w:szCs w:val="16"/>
    </w:rPr>
  </w:style>
  <w:style w:type="paragraph" w:styleId="CommentText">
    <w:name w:val="annotation text"/>
    <w:basedOn w:val="Normal"/>
    <w:link w:val="CommentTextChar"/>
    <w:uiPriority w:val="99"/>
    <w:semiHidden/>
    <w:unhideWhenUsed/>
    <w:rsid w:val="00856413"/>
    <w:rPr>
      <w:sz w:val="20"/>
      <w:szCs w:val="20"/>
    </w:rPr>
  </w:style>
  <w:style w:type="character" w:customStyle="1" w:styleId="CommentTextChar">
    <w:name w:val="Comment Text Char"/>
    <w:basedOn w:val="DefaultParagraphFont"/>
    <w:link w:val="CommentText"/>
    <w:uiPriority w:val="99"/>
    <w:semiHidden/>
    <w:rsid w:val="00856413"/>
    <w:rPr>
      <w:sz w:val="20"/>
      <w:szCs w:val="20"/>
    </w:rPr>
  </w:style>
  <w:style w:type="paragraph" w:styleId="CommentSubject">
    <w:name w:val="annotation subject"/>
    <w:basedOn w:val="CommentText"/>
    <w:next w:val="CommentText"/>
    <w:link w:val="CommentSubjectChar"/>
    <w:uiPriority w:val="99"/>
    <w:semiHidden/>
    <w:unhideWhenUsed/>
    <w:rsid w:val="00856413"/>
    <w:rPr>
      <w:b/>
      <w:bCs/>
    </w:rPr>
  </w:style>
  <w:style w:type="character" w:customStyle="1" w:styleId="CommentSubjectChar">
    <w:name w:val="Comment Subject Char"/>
    <w:basedOn w:val="CommentTextChar"/>
    <w:link w:val="CommentSubject"/>
    <w:uiPriority w:val="99"/>
    <w:semiHidden/>
    <w:rsid w:val="00856413"/>
    <w:rPr>
      <w:b/>
      <w:bCs/>
      <w:sz w:val="20"/>
      <w:szCs w:val="20"/>
    </w:rPr>
  </w:style>
  <w:style w:type="paragraph" w:styleId="BalloonText">
    <w:name w:val="Balloon Text"/>
    <w:basedOn w:val="Normal"/>
    <w:link w:val="BalloonTextChar"/>
    <w:uiPriority w:val="99"/>
    <w:semiHidden/>
    <w:unhideWhenUsed/>
    <w:rsid w:val="00856413"/>
    <w:rPr>
      <w:rFonts w:ascii="Tahoma" w:hAnsi="Tahoma" w:cs="Tahoma"/>
      <w:sz w:val="16"/>
      <w:szCs w:val="16"/>
    </w:rPr>
  </w:style>
  <w:style w:type="character" w:customStyle="1" w:styleId="BalloonTextChar">
    <w:name w:val="Balloon Text Char"/>
    <w:basedOn w:val="DefaultParagraphFont"/>
    <w:link w:val="BalloonText"/>
    <w:uiPriority w:val="99"/>
    <w:semiHidden/>
    <w:rsid w:val="00856413"/>
    <w:rPr>
      <w:rFonts w:ascii="Tahoma" w:hAnsi="Tahoma" w:cs="Tahoma"/>
      <w:sz w:val="16"/>
      <w:szCs w:val="16"/>
    </w:rPr>
  </w:style>
  <w:style w:type="paragraph" w:styleId="Header">
    <w:name w:val="header"/>
    <w:basedOn w:val="Normal"/>
    <w:link w:val="HeaderChar"/>
    <w:uiPriority w:val="99"/>
    <w:unhideWhenUsed/>
    <w:rsid w:val="00D13797"/>
    <w:pPr>
      <w:tabs>
        <w:tab w:val="center" w:pos="4680"/>
        <w:tab w:val="right" w:pos="9360"/>
      </w:tabs>
    </w:pPr>
  </w:style>
  <w:style w:type="character" w:customStyle="1" w:styleId="HeaderChar">
    <w:name w:val="Header Char"/>
    <w:basedOn w:val="DefaultParagraphFont"/>
    <w:link w:val="Header"/>
    <w:uiPriority w:val="99"/>
    <w:rsid w:val="00D13797"/>
  </w:style>
  <w:style w:type="paragraph" w:styleId="Footer">
    <w:name w:val="footer"/>
    <w:basedOn w:val="Normal"/>
    <w:link w:val="FooterChar"/>
    <w:uiPriority w:val="99"/>
    <w:unhideWhenUsed/>
    <w:rsid w:val="00D13797"/>
    <w:pPr>
      <w:tabs>
        <w:tab w:val="center" w:pos="4680"/>
        <w:tab w:val="right" w:pos="9360"/>
      </w:tabs>
    </w:pPr>
  </w:style>
  <w:style w:type="character" w:customStyle="1" w:styleId="FooterChar">
    <w:name w:val="Footer Char"/>
    <w:basedOn w:val="DefaultParagraphFont"/>
    <w:link w:val="Footer"/>
    <w:uiPriority w:val="99"/>
    <w:rsid w:val="00D13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91F72-C4B0-F84C-8EEE-483F4D7DF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1592</Words>
  <Characters>9076</Characters>
  <Application>Microsoft Macintosh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10647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IITS</dc:creator>
  <cp:lastModifiedBy>Regina Eisenbach</cp:lastModifiedBy>
  <cp:revision>2</cp:revision>
  <dcterms:created xsi:type="dcterms:W3CDTF">2014-09-29T20:08:00Z</dcterms:created>
  <dcterms:modified xsi:type="dcterms:W3CDTF">2014-09-29T20:08:00Z</dcterms:modified>
</cp:coreProperties>
</file>