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F29" w:rsidRPr="00943F29" w:rsidRDefault="00943F29" w:rsidP="00943F29">
      <w:pPr>
        <w:spacing w:before="100" w:beforeAutospacing="1" w:after="100" w:afterAutospacing="1"/>
        <w:outlineLvl w:val="0"/>
        <w:rPr>
          <w:rFonts w:ascii="Times" w:eastAsia="Times New Roman" w:hAnsi="Times" w:cs="Times New Roman"/>
          <w:b/>
          <w:bCs/>
          <w:kern w:val="36"/>
          <w:sz w:val="48"/>
          <w:szCs w:val="48"/>
        </w:rPr>
      </w:pPr>
      <w:bookmarkStart w:id="0" w:name="_GoBack"/>
      <w:r w:rsidRPr="00943F29">
        <w:rPr>
          <w:rFonts w:ascii="Times" w:eastAsia="Times New Roman" w:hAnsi="Times" w:cs="Times New Roman"/>
          <w:b/>
          <w:bCs/>
          <w:kern w:val="36"/>
          <w:sz w:val="48"/>
          <w:szCs w:val="48"/>
        </w:rPr>
        <w:t>Revisiting Disclosure</w:t>
      </w:r>
    </w:p>
    <w:bookmarkEnd w:id="0"/>
    <w:p w:rsidR="00943F29" w:rsidRPr="00943F29" w:rsidRDefault="00943F29" w:rsidP="00943F29">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4145574" cy="1828800"/>
            <wp:effectExtent l="0" t="0" r="0" b="0"/>
            <wp:docPr id="1" name="Picture 1" descr="ull_full_06092014-disclo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l_full_06092014-disclos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45574" cy="1828800"/>
                    </a:xfrm>
                    <a:prstGeom prst="rect">
                      <a:avLst/>
                    </a:prstGeom>
                    <a:noFill/>
                    <a:ln>
                      <a:noFill/>
                    </a:ln>
                  </pic:spPr>
                </pic:pic>
              </a:graphicData>
            </a:graphic>
          </wp:inline>
        </w:drawing>
      </w:r>
    </w:p>
    <w:p w:rsidR="00943F29" w:rsidRPr="00943F29" w:rsidRDefault="00943F29" w:rsidP="00943F29">
      <w:pPr>
        <w:rPr>
          <w:rFonts w:ascii="Times" w:eastAsia="Times New Roman" w:hAnsi="Times" w:cs="Times New Roman"/>
          <w:sz w:val="20"/>
          <w:szCs w:val="20"/>
        </w:rPr>
      </w:pPr>
      <w:r w:rsidRPr="00943F29">
        <w:rPr>
          <w:rFonts w:ascii="Times" w:eastAsia="Times New Roman" w:hAnsi="Times" w:cs="Times New Roman"/>
          <w:sz w:val="20"/>
          <w:szCs w:val="20"/>
        </w:rPr>
        <w:t xml:space="preserve">June 26, 2015 </w:t>
      </w:r>
    </w:p>
    <w:p w:rsidR="00943F29" w:rsidRPr="00943F29" w:rsidRDefault="00943F29" w:rsidP="00943F29">
      <w:pPr>
        <w:spacing w:before="100" w:beforeAutospacing="1" w:after="100" w:afterAutospacing="1"/>
        <w:rPr>
          <w:rFonts w:ascii="Times" w:hAnsi="Times" w:cs="Times New Roman"/>
          <w:sz w:val="20"/>
          <w:szCs w:val="20"/>
        </w:rPr>
      </w:pPr>
      <w:r w:rsidRPr="00943F29">
        <w:rPr>
          <w:rFonts w:ascii="Times" w:hAnsi="Times" w:cs="Times New Roman"/>
          <w:sz w:val="20"/>
          <w:szCs w:val="20"/>
        </w:rPr>
        <w:t xml:space="preserve">I opened </w:t>
      </w:r>
      <w:hyperlink r:id="rId7" w:history="1">
        <w:r w:rsidRPr="00943F29">
          <w:rPr>
            <w:rFonts w:ascii="Times" w:hAnsi="Times" w:cs="Times New Roman"/>
            <w:color w:val="0000FF"/>
            <w:sz w:val="20"/>
            <w:szCs w:val="20"/>
            <w:u w:val="single"/>
          </w:rPr>
          <w:t>this series</w:t>
        </w:r>
      </w:hyperlink>
      <w:r w:rsidRPr="00943F29">
        <w:rPr>
          <w:rFonts w:ascii="Times" w:hAnsi="Times" w:cs="Times New Roman"/>
          <w:sz w:val="20"/>
          <w:szCs w:val="20"/>
        </w:rPr>
        <w:t xml:space="preserve"> with </w:t>
      </w:r>
      <w:proofErr w:type="gramStart"/>
      <w:r w:rsidRPr="00943F29">
        <w:rPr>
          <w:rFonts w:ascii="Times" w:hAnsi="Times" w:cs="Times New Roman"/>
          <w:sz w:val="20"/>
          <w:szCs w:val="20"/>
        </w:rPr>
        <w:t>a piece</w:t>
      </w:r>
      <w:proofErr w:type="gramEnd"/>
      <w:r w:rsidRPr="00943F29">
        <w:rPr>
          <w:rFonts w:ascii="Times" w:hAnsi="Times" w:cs="Times New Roman"/>
          <w:sz w:val="20"/>
          <w:szCs w:val="20"/>
        </w:rPr>
        <w:t xml:space="preserve"> called “</w:t>
      </w:r>
      <w:hyperlink r:id="rId8" w:history="1">
        <w:r w:rsidRPr="00943F29">
          <w:rPr>
            <w:rFonts w:ascii="Times" w:hAnsi="Times" w:cs="Times New Roman"/>
            <w:color w:val="0000FF"/>
            <w:sz w:val="20"/>
            <w:szCs w:val="20"/>
            <w:u w:val="single"/>
          </w:rPr>
          <w:t>Disclosure Blues</w:t>
        </w:r>
      </w:hyperlink>
      <w:r w:rsidRPr="00943F29">
        <w:rPr>
          <w:rFonts w:ascii="Times" w:hAnsi="Times" w:cs="Times New Roman"/>
          <w:sz w:val="20"/>
          <w:szCs w:val="20"/>
        </w:rPr>
        <w:t xml:space="preserve">,” in which I concluded that it would be “hard for me to suggest that graduate students, contingent faculty, or pre-tenure faculty disclose their mental illnesses to their academic colleagues.” The risks of such disclosure were just too great. </w:t>
      </w:r>
    </w:p>
    <w:p w:rsidR="00943F29" w:rsidRPr="00943F29" w:rsidRDefault="00943F29" w:rsidP="00943F29">
      <w:pPr>
        <w:spacing w:before="100" w:beforeAutospacing="1" w:after="100" w:afterAutospacing="1"/>
        <w:rPr>
          <w:rFonts w:ascii="Times" w:hAnsi="Times" w:cs="Times New Roman"/>
          <w:sz w:val="20"/>
          <w:szCs w:val="20"/>
        </w:rPr>
      </w:pPr>
      <w:r w:rsidRPr="00943F29">
        <w:rPr>
          <w:rFonts w:ascii="Times" w:hAnsi="Times" w:cs="Times New Roman"/>
          <w:sz w:val="20"/>
          <w:szCs w:val="20"/>
        </w:rPr>
        <w:t xml:space="preserve">Since I wrote that piece, much has changed in my life. </w:t>
      </w:r>
      <w:hyperlink r:id="rId9" w:history="1">
        <w:r w:rsidRPr="00943F29">
          <w:rPr>
            <w:rFonts w:ascii="Times" w:hAnsi="Times" w:cs="Times New Roman"/>
            <w:color w:val="0000FF"/>
            <w:sz w:val="20"/>
            <w:szCs w:val="20"/>
            <w:u w:val="single"/>
          </w:rPr>
          <w:t>I’ve left academia</w:t>
        </w:r>
      </w:hyperlink>
      <w:r w:rsidRPr="00943F29">
        <w:rPr>
          <w:rFonts w:ascii="Times" w:hAnsi="Times" w:cs="Times New Roman"/>
          <w:sz w:val="20"/>
          <w:szCs w:val="20"/>
        </w:rPr>
        <w:t xml:space="preserve">. I’ve also taken more steps to publicly disclose my own psychiatric disability, mostly in </w:t>
      </w:r>
      <w:hyperlink r:id="rId10" w:history="1">
        <w:r w:rsidRPr="00943F29">
          <w:rPr>
            <w:rFonts w:ascii="Times" w:hAnsi="Times" w:cs="Times New Roman"/>
            <w:color w:val="0000FF"/>
            <w:sz w:val="20"/>
            <w:szCs w:val="20"/>
            <w:u w:val="single"/>
          </w:rPr>
          <w:t>online essays</w:t>
        </w:r>
      </w:hyperlink>
      <w:r w:rsidRPr="00943F29">
        <w:rPr>
          <w:rFonts w:ascii="Times" w:hAnsi="Times" w:cs="Times New Roman"/>
          <w:sz w:val="20"/>
          <w:szCs w:val="20"/>
        </w:rPr>
        <w:t xml:space="preserve">. In the wake of those disclosures, I’ve experienced some trolling and other abuse, but not that much. I liberally use the “block” function on Twitter, and I’ve left all comments on my blog disabled. </w:t>
      </w:r>
    </w:p>
    <w:p w:rsidR="00943F29" w:rsidRPr="00943F29" w:rsidRDefault="00943F29" w:rsidP="00943F29">
      <w:pPr>
        <w:spacing w:before="100" w:beforeAutospacing="1" w:after="100" w:afterAutospacing="1"/>
        <w:rPr>
          <w:rFonts w:ascii="Times" w:hAnsi="Times" w:cs="Times New Roman"/>
          <w:sz w:val="20"/>
          <w:szCs w:val="20"/>
        </w:rPr>
      </w:pPr>
      <w:r w:rsidRPr="00943F29">
        <w:rPr>
          <w:rFonts w:ascii="Times" w:hAnsi="Times" w:cs="Times New Roman"/>
          <w:sz w:val="20"/>
          <w:szCs w:val="20"/>
        </w:rPr>
        <w:t xml:space="preserve">But now more than ever, academics — especially contingent instructors, early career faculty, or graduate students — come to me for advice about managing the effects of their own psychiatric disabilities on their careers. The more open I’ve become about my condition, the more others have sought me out as a resource. For that reason alone, disclosure has been a valuable choice for me. </w:t>
      </w:r>
    </w:p>
    <w:p w:rsidR="00943F29" w:rsidRPr="00943F29" w:rsidRDefault="00943F29" w:rsidP="00943F29">
      <w:pPr>
        <w:spacing w:before="100" w:beforeAutospacing="1" w:after="100" w:afterAutospacing="1"/>
        <w:rPr>
          <w:rFonts w:ascii="Times" w:hAnsi="Times" w:cs="Times New Roman"/>
          <w:sz w:val="20"/>
          <w:szCs w:val="20"/>
        </w:rPr>
      </w:pPr>
      <w:r w:rsidRPr="00943F29">
        <w:rPr>
          <w:rFonts w:ascii="Times" w:hAnsi="Times" w:cs="Times New Roman"/>
          <w:sz w:val="20"/>
          <w:szCs w:val="20"/>
        </w:rPr>
        <w:t xml:space="preserve">After all, if I can serve as a positive model in which one’s mental health (a) isn’t a source of shame or (b) isn’t shoved aside, but rather is a central part of one’s health and well being, then I’m glad to take a little flack from ignorant trolls who are really just afraid of people with psychiatric disabilities and express that fear with anger. </w:t>
      </w:r>
    </w:p>
    <w:p w:rsidR="00943F29" w:rsidRPr="00943F29" w:rsidRDefault="00943F29" w:rsidP="00943F29">
      <w:pPr>
        <w:spacing w:before="100" w:beforeAutospacing="1" w:after="100" w:afterAutospacing="1"/>
        <w:rPr>
          <w:rFonts w:ascii="Times" w:hAnsi="Times" w:cs="Times New Roman"/>
          <w:sz w:val="20"/>
          <w:szCs w:val="20"/>
        </w:rPr>
      </w:pPr>
      <w:r w:rsidRPr="00943F29">
        <w:rPr>
          <w:rFonts w:ascii="Times" w:hAnsi="Times" w:cs="Times New Roman"/>
          <w:b/>
          <w:bCs/>
          <w:sz w:val="20"/>
          <w:szCs w:val="20"/>
        </w:rPr>
        <w:t>Finally Free to Write</w:t>
      </w:r>
      <w:r w:rsidRPr="00943F29">
        <w:rPr>
          <w:rFonts w:ascii="Times" w:hAnsi="Times" w:cs="Times New Roman"/>
          <w:sz w:val="20"/>
          <w:szCs w:val="20"/>
        </w:rPr>
        <w:t xml:space="preserve"> </w:t>
      </w:r>
    </w:p>
    <w:p w:rsidR="00943F29" w:rsidRPr="00943F29" w:rsidRDefault="00943F29" w:rsidP="00943F29">
      <w:pPr>
        <w:spacing w:before="100" w:beforeAutospacing="1" w:after="100" w:afterAutospacing="1"/>
        <w:rPr>
          <w:rFonts w:ascii="Times" w:hAnsi="Times" w:cs="Times New Roman"/>
          <w:sz w:val="20"/>
          <w:szCs w:val="20"/>
        </w:rPr>
      </w:pPr>
      <w:r w:rsidRPr="00943F29">
        <w:rPr>
          <w:rFonts w:ascii="Times" w:hAnsi="Times" w:cs="Times New Roman"/>
          <w:sz w:val="20"/>
          <w:szCs w:val="20"/>
        </w:rPr>
        <w:t xml:space="preserve">Now that I’ve left the academy, one of the most amazing things about disclosing my mental illness is that I have the opportunity to research and write about my expertise in disability studies. Academia never offered me any financial or professional support to do that during my time as a contingent faculty member. </w:t>
      </w:r>
    </w:p>
    <w:p w:rsidR="00943F29" w:rsidRPr="00943F29" w:rsidRDefault="00943F29" w:rsidP="00943F29">
      <w:pPr>
        <w:spacing w:before="100" w:beforeAutospacing="1" w:after="100" w:afterAutospacing="1"/>
        <w:rPr>
          <w:rFonts w:ascii="Times" w:hAnsi="Times" w:cs="Times New Roman"/>
          <w:sz w:val="20"/>
          <w:szCs w:val="20"/>
        </w:rPr>
      </w:pPr>
      <w:r w:rsidRPr="00943F29">
        <w:rPr>
          <w:rFonts w:ascii="Times" w:hAnsi="Times" w:cs="Times New Roman"/>
          <w:sz w:val="20"/>
          <w:szCs w:val="20"/>
        </w:rPr>
        <w:t xml:space="preserve">I worked for seven years as a writing instructor at an institution that contractually stated it would never hire me onto the tenure track. During that time, I was expected to teach my writing courses, grade stacks of papers, and conference with students multiple times each semester — all things that writing instructors know we must do to just keep up with the workload. But just because my institution crammed my time full of writing courses (and I added extra ones on other campuses to make ends meet) doesn’t mean my research agenda up and died. I made time to research and write about psychiatric disability. I have two, maybe three, more articles coming out this year — pieces I wrote and submitted on the academic publishing timeline when I was still teaching. (That timeline is, as you know, really, really slow.) But no institution I ever worked at supported my research in any way with time or money. </w:t>
      </w:r>
    </w:p>
    <w:p w:rsidR="00943F29" w:rsidRPr="00943F29" w:rsidRDefault="00943F29" w:rsidP="00943F29">
      <w:pPr>
        <w:spacing w:before="100" w:beforeAutospacing="1" w:after="100" w:afterAutospacing="1"/>
        <w:rPr>
          <w:rFonts w:ascii="Times" w:hAnsi="Times" w:cs="Times New Roman"/>
          <w:sz w:val="20"/>
          <w:szCs w:val="20"/>
        </w:rPr>
      </w:pPr>
      <w:r w:rsidRPr="00943F29">
        <w:rPr>
          <w:rFonts w:ascii="Times" w:hAnsi="Times" w:cs="Times New Roman"/>
          <w:sz w:val="20"/>
          <w:szCs w:val="20"/>
        </w:rPr>
        <w:lastRenderedPageBreak/>
        <w:t xml:space="preserve">Although I miss the classroom, I don’t miss being expected to robotically fulfill teaching requirements that my institution seemed to think could be met by whichever warm body walked through the door. I don’t miss the way it treated my research as a “distraction.” That life was the opposite of the life of the mind. </w:t>
      </w:r>
    </w:p>
    <w:p w:rsidR="00943F29" w:rsidRPr="00943F29" w:rsidRDefault="00943F29" w:rsidP="00943F29">
      <w:pPr>
        <w:spacing w:before="100" w:beforeAutospacing="1" w:after="100" w:afterAutospacing="1"/>
        <w:rPr>
          <w:rFonts w:ascii="Times" w:hAnsi="Times" w:cs="Times New Roman"/>
          <w:sz w:val="20"/>
          <w:szCs w:val="20"/>
        </w:rPr>
      </w:pPr>
      <w:r w:rsidRPr="00943F29">
        <w:rPr>
          <w:rFonts w:ascii="Times" w:hAnsi="Times" w:cs="Times New Roman"/>
          <w:sz w:val="20"/>
          <w:szCs w:val="20"/>
        </w:rPr>
        <w:t xml:space="preserve">The irony is, back when I was teaching, I was terrified to disclose my psychiatric disability to anyone on the campus. My fears were many. There was, of course, the general expectation of mental perfection that all academics face, and the attendant desire of those of us with mental-health issues to hide our “broken brains.” But I also struggled with a fear particular to contingent faculty — namely that, as I wrote in </w:t>
      </w:r>
      <w:hyperlink r:id="rId11" w:history="1">
        <w:r w:rsidRPr="00943F29">
          <w:rPr>
            <w:rFonts w:ascii="Times" w:hAnsi="Times" w:cs="Times New Roman"/>
            <w:color w:val="0000FF"/>
            <w:sz w:val="20"/>
            <w:szCs w:val="20"/>
            <w:u w:val="single"/>
          </w:rPr>
          <w:t>my first column,</w:t>
        </w:r>
      </w:hyperlink>
      <w:r w:rsidRPr="00943F29">
        <w:rPr>
          <w:rFonts w:ascii="Times" w:hAnsi="Times" w:cs="Times New Roman"/>
          <w:sz w:val="20"/>
          <w:szCs w:val="20"/>
        </w:rPr>
        <w:t xml:space="preserve"> “everyone at work would learn about my secret disability, and that I would get fired because of it.” I was also afraid of causing trouble as a person with a disability, in particular a person with a stigmatized psychiatric condition. I would </w:t>
      </w:r>
      <w:hyperlink r:id="rId12" w:history="1">
        <w:r w:rsidRPr="00943F29">
          <w:rPr>
            <w:rFonts w:ascii="Times" w:hAnsi="Times" w:cs="Times New Roman"/>
            <w:color w:val="0000FF"/>
            <w:sz w:val="20"/>
            <w:szCs w:val="20"/>
            <w:u w:val="single"/>
          </w:rPr>
          <w:t>never have asked for accommodations</w:t>
        </w:r>
      </w:hyperlink>
      <w:r w:rsidRPr="00943F29">
        <w:rPr>
          <w:rFonts w:ascii="Times" w:hAnsi="Times" w:cs="Times New Roman"/>
          <w:sz w:val="20"/>
          <w:szCs w:val="20"/>
        </w:rPr>
        <w:t xml:space="preserve">. </w:t>
      </w:r>
    </w:p>
    <w:p w:rsidR="00943F29" w:rsidRPr="00943F29" w:rsidRDefault="00943F29" w:rsidP="00943F29">
      <w:pPr>
        <w:spacing w:before="100" w:beforeAutospacing="1" w:after="100" w:afterAutospacing="1"/>
        <w:rPr>
          <w:rFonts w:ascii="Times" w:hAnsi="Times" w:cs="Times New Roman"/>
          <w:sz w:val="20"/>
          <w:szCs w:val="20"/>
        </w:rPr>
      </w:pPr>
      <w:r w:rsidRPr="00943F29">
        <w:rPr>
          <w:rFonts w:ascii="Times" w:hAnsi="Times" w:cs="Times New Roman"/>
          <w:sz w:val="20"/>
          <w:szCs w:val="20"/>
        </w:rPr>
        <w:t xml:space="preserve">Given that new research shows that </w:t>
      </w:r>
      <w:hyperlink r:id="rId13" w:history="1">
        <w:r w:rsidRPr="00943F29">
          <w:rPr>
            <w:rFonts w:ascii="Times" w:hAnsi="Times" w:cs="Times New Roman"/>
            <w:color w:val="0000FF"/>
            <w:sz w:val="20"/>
            <w:szCs w:val="20"/>
            <w:u w:val="single"/>
          </w:rPr>
          <w:t>precarious academic employment itself is a risk factor</w:t>
        </w:r>
      </w:hyperlink>
      <w:r w:rsidRPr="00943F29">
        <w:rPr>
          <w:rFonts w:ascii="Times" w:hAnsi="Times" w:cs="Times New Roman"/>
          <w:sz w:val="20"/>
          <w:szCs w:val="20"/>
        </w:rPr>
        <w:t xml:space="preserve"> for mental illness, it seems like a terrible idea for someone with a psychiatric disability to take a contingent teaching job. Too bad for seven years I never felt like </w:t>
      </w:r>
      <w:hyperlink r:id="rId14" w:history="1">
        <w:r w:rsidRPr="00943F29">
          <w:rPr>
            <w:rFonts w:ascii="Times" w:hAnsi="Times" w:cs="Times New Roman"/>
            <w:color w:val="0000FF"/>
            <w:sz w:val="20"/>
            <w:szCs w:val="20"/>
            <w:u w:val="single"/>
          </w:rPr>
          <w:t>I had a choice</w:t>
        </w:r>
      </w:hyperlink>
      <w:r w:rsidRPr="00943F29">
        <w:rPr>
          <w:rFonts w:ascii="Times" w:hAnsi="Times" w:cs="Times New Roman"/>
          <w:sz w:val="20"/>
          <w:szCs w:val="20"/>
        </w:rPr>
        <w:t xml:space="preserve">. </w:t>
      </w:r>
    </w:p>
    <w:p w:rsidR="00943F29" w:rsidRPr="00943F29" w:rsidRDefault="00943F29" w:rsidP="00943F29">
      <w:pPr>
        <w:spacing w:before="100" w:beforeAutospacing="1" w:after="100" w:afterAutospacing="1"/>
        <w:rPr>
          <w:rFonts w:ascii="Times" w:hAnsi="Times" w:cs="Times New Roman"/>
          <w:sz w:val="20"/>
          <w:szCs w:val="20"/>
        </w:rPr>
      </w:pPr>
      <w:r w:rsidRPr="00943F29">
        <w:rPr>
          <w:rFonts w:ascii="Times" w:hAnsi="Times" w:cs="Times New Roman"/>
          <w:sz w:val="20"/>
          <w:szCs w:val="20"/>
        </w:rPr>
        <w:t xml:space="preserve">Now that I’ve left academia behind, not only have those fears fallen away (well, for the most part), </w:t>
      </w:r>
      <w:proofErr w:type="gramStart"/>
      <w:r w:rsidRPr="00943F29">
        <w:rPr>
          <w:rFonts w:ascii="Times" w:hAnsi="Times" w:cs="Times New Roman"/>
          <w:sz w:val="20"/>
          <w:szCs w:val="20"/>
        </w:rPr>
        <w:t>but</w:t>
      </w:r>
      <w:proofErr w:type="gramEnd"/>
      <w:r w:rsidRPr="00943F29">
        <w:rPr>
          <w:rFonts w:ascii="Times" w:hAnsi="Times" w:cs="Times New Roman"/>
          <w:sz w:val="20"/>
          <w:szCs w:val="20"/>
        </w:rPr>
        <w:t xml:space="preserve"> I now can devote myself to writing about disability studies, my area of specialty that I rarely had time for before. </w:t>
      </w:r>
    </w:p>
    <w:p w:rsidR="00943F29" w:rsidRPr="00943F29" w:rsidRDefault="00943F29" w:rsidP="00943F29">
      <w:pPr>
        <w:spacing w:before="100" w:beforeAutospacing="1" w:after="100" w:afterAutospacing="1"/>
        <w:rPr>
          <w:rFonts w:ascii="Times" w:hAnsi="Times" w:cs="Times New Roman"/>
          <w:sz w:val="20"/>
          <w:szCs w:val="20"/>
        </w:rPr>
      </w:pPr>
      <w:r w:rsidRPr="00943F29">
        <w:rPr>
          <w:rFonts w:ascii="Times" w:hAnsi="Times" w:cs="Times New Roman"/>
          <w:b/>
          <w:bCs/>
          <w:sz w:val="20"/>
          <w:szCs w:val="20"/>
        </w:rPr>
        <w:t>Putting Disclosure to Work</w:t>
      </w:r>
      <w:r w:rsidRPr="00943F29">
        <w:rPr>
          <w:rFonts w:ascii="Times" w:hAnsi="Times" w:cs="Times New Roman"/>
          <w:sz w:val="20"/>
          <w:szCs w:val="20"/>
        </w:rPr>
        <w:t xml:space="preserve"> </w:t>
      </w:r>
    </w:p>
    <w:p w:rsidR="00943F29" w:rsidRPr="00943F29" w:rsidRDefault="00943F29" w:rsidP="00943F29">
      <w:pPr>
        <w:spacing w:before="100" w:beforeAutospacing="1" w:after="100" w:afterAutospacing="1"/>
        <w:rPr>
          <w:rFonts w:ascii="Times" w:hAnsi="Times" w:cs="Times New Roman"/>
          <w:sz w:val="20"/>
          <w:szCs w:val="20"/>
        </w:rPr>
      </w:pPr>
      <w:proofErr w:type="gramStart"/>
      <w:r w:rsidRPr="00943F29">
        <w:rPr>
          <w:rFonts w:ascii="Times" w:hAnsi="Times" w:cs="Times New Roman"/>
          <w:sz w:val="20"/>
          <w:szCs w:val="20"/>
        </w:rPr>
        <w:t>Disability studies is</w:t>
      </w:r>
      <w:proofErr w:type="gramEnd"/>
      <w:r w:rsidRPr="00943F29">
        <w:rPr>
          <w:rFonts w:ascii="Times" w:hAnsi="Times" w:cs="Times New Roman"/>
          <w:sz w:val="20"/>
          <w:szCs w:val="20"/>
        </w:rPr>
        <w:t xml:space="preserve"> a youngish field that constantly examines the issue of disclosure. </w:t>
      </w:r>
    </w:p>
    <w:p w:rsidR="00943F29" w:rsidRPr="00943F29" w:rsidRDefault="00943F29" w:rsidP="00943F29">
      <w:pPr>
        <w:spacing w:before="100" w:beforeAutospacing="1" w:after="100" w:afterAutospacing="1"/>
        <w:rPr>
          <w:rFonts w:ascii="Times" w:hAnsi="Times" w:cs="Times New Roman"/>
          <w:sz w:val="20"/>
          <w:szCs w:val="20"/>
        </w:rPr>
      </w:pPr>
      <w:r w:rsidRPr="00943F29">
        <w:rPr>
          <w:rFonts w:ascii="Times" w:hAnsi="Times" w:cs="Times New Roman"/>
          <w:sz w:val="20"/>
          <w:szCs w:val="20"/>
        </w:rPr>
        <w:t xml:space="preserve">In </w:t>
      </w:r>
      <w:hyperlink r:id="rId15" w:history="1">
        <w:r w:rsidRPr="00943F29">
          <w:rPr>
            <w:rFonts w:ascii="Times" w:hAnsi="Times" w:cs="Times New Roman"/>
            <w:color w:val="0000FF"/>
            <w:sz w:val="20"/>
            <w:szCs w:val="20"/>
            <w:u w:val="single"/>
          </w:rPr>
          <w:t>her 2014 article</w:t>
        </w:r>
      </w:hyperlink>
      <w:r w:rsidRPr="00943F29">
        <w:rPr>
          <w:rFonts w:ascii="Times" w:hAnsi="Times" w:cs="Times New Roman"/>
          <w:sz w:val="20"/>
          <w:szCs w:val="20"/>
        </w:rPr>
        <w:t xml:space="preserve"> in </w:t>
      </w:r>
      <w:r w:rsidRPr="00943F29">
        <w:rPr>
          <w:rFonts w:ascii="Times" w:hAnsi="Times" w:cs="Times New Roman"/>
          <w:i/>
          <w:iCs/>
          <w:sz w:val="20"/>
          <w:szCs w:val="20"/>
        </w:rPr>
        <w:t>Rhetoric Review</w:t>
      </w:r>
      <w:r w:rsidRPr="00943F29">
        <w:rPr>
          <w:rFonts w:ascii="Times" w:hAnsi="Times" w:cs="Times New Roman"/>
          <w:sz w:val="20"/>
          <w:szCs w:val="20"/>
        </w:rPr>
        <w:t xml:space="preserve"> on “disclosing disability in academic writing,” Stephanie L. </w:t>
      </w:r>
      <w:proofErr w:type="spellStart"/>
      <w:r w:rsidRPr="00943F29">
        <w:rPr>
          <w:rFonts w:ascii="Times" w:hAnsi="Times" w:cs="Times New Roman"/>
          <w:sz w:val="20"/>
          <w:szCs w:val="20"/>
        </w:rPr>
        <w:t>Kerschbaum</w:t>
      </w:r>
      <w:proofErr w:type="spellEnd"/>
      <w:r w:rsidRPr="00943F29">
        <w:rPr>
          <w:rFonts w:ascii="Times" w:hAnsi="Times" w:cs="Times New Roman"/>
          <w:sz w:val="20"/>
          <w:szCs w:val="20"/>
        </w:rPr>
        <w:t xml:space="preserve"> suggests that my disability cat was probably out of the bag anyway. When “you do disability studies work, people assume that you either have a disability or that you are related to someone with a disability.” She’s not wrong. When I present on disability studies at conferences, I am often asked about my own relationship with these issues. </w:t>
      </w:r>
    </w:p>
    <w:p w:rsidR="00943F29" w:rsidRPr="00943F29" w:rsidRDefault="00943F29" w:rsidP="00943F29">
      <w:pPr>
        <w:spacing w:before="100" w:beforeAutospacing="1" w:after="100" w:afterAutospacing="1"/>
        <w:rPr>
          <w:rFonts w:ascii="Times" w:hAnsi="Times" w:cs="Times New Roman"/>
          <w:sz w:val="20"/>
          <w:szCs w:val="20"/>
        </w:rPr>
      </w:pPr>
      <w:r w:rsidRPr="00943F29">
        <w:rPr>
          <w:rFonts w:ascii="Times" w:hAnsi="Times" w:cs="Times New Roman"/>
          <w:sz w:val="20"/>
          <w:szCs w:val="20"/>
        </w:rPr>
        <w:t xml:space="preserve">When scholars in the field face personal questions about their own disability status, </w:t>
      </w:r>
      <w:proofErr w:type="spellStart"/>
      <w:r w:rsidRPr="00943F29">
        <w:rPr>
          <w:rFonts w:ascii="Times" w:hAnsi="Times" w:cs="Times New Roman"/>
          <w:sz w:val="20"/>
          <w:szCs w:val="20"/>
        </w:rPr>
        <w:t>Kerschbaum</w:t>
      </w:r>
      <w:proofErr w:type="spellEnd"/>
      <w:r w:rsidRPr="00943F29">
        <w:rPr>
          <w:rFonts w:ascii="Times" w:hAnsi="Times" w:cs="Times New Roman"/>
          <w:sz w:val="20"/>
          <w:szCs w:val="20"/>
        </w:rPr>
        <w:t xml:space="preserve"> wonders, do those </w:t>
      </w:r>
      <w:proofErr w:type="gramStart"/>
      <w:r w:rsidRPr="00943F29">
        <w:rPr>
          <w:rFonts w:ascii="Times" w:hAnsi="Times" w:cs="Times New Roman"/>
          <w:sz w:val="20"/>
          <w:szCs w:val="20"/>
        </w:rPr>
        <w:t>questions</w:t>
      </w:r>
      <w:proofErr w:type="gramEnd"/>
      <w:r w:rsidRPr="00943F29">
        <w:rPr>
          <w:rFonts w:ascii="Times" w:hAnsi="Times" w:cs="Times New Roman"/>
          <w:sz w:val="20"/>
          <w:szCs w:val="20"/>
        </w:rPr>
        <w:t xml:space="preserve"> “reflect a kind of invasive curiosity about disability?” </w:t>
      </w:r>
    </w:p>
    <w:p w:rsidR="00943F29" w:rsidRPr="00943F29" w:rsidRDefault="00943F29" w:rsidP="00943F29">
      <w:pPr>
        <w:spacing w:before="100" w:beforeAutospacing="1" w:after="100" w:afterAutospacing="1"/>
        <w:rPr>
          <w:rFonts w:ascii="Times" w:hAnsi="Times" w:cs="Times New Roman"/>
          <w:sz w:val="20"/>
          <w:szCs w:val="20"/>
        </w:rPr>
      </w:pPr>
      <w:r w:rsidRPr="00943F29">
        <w:rPr>
          <w:rFonts w:ascii="Times" w:hAnsi="Times" w:cs="Times New Roman"/>
          <w:sz w:val="20"/>
          <w:szCs w:val="20"/>
        </w:rPr>
        <w:t xml:space="preserve">Some queries </w:t>
      </w:r>
      <w:r w:rsidRPr="00943F29">
        <w:rPr>
          <w:rFonts w:ascii="Times" w:hAnsi="Times" w:cs="Times New Roman"/>
          <w:i/>
          <w:iCs/>
          <w:sz w:val="20"/>
          <w:szCs w:val="20"/>
        </w:rPr>
        <w:t>do</w:t>
      </w:r>
      <w:r w:rsidRPr="00943F29">
        <w:rPr>
          <w:rFonts w:ascii="Times" w:hAnsi="Times" w:cs="Times New Roman"/>
          <w:sz w:val="20"/>
          <w:szCs w:val="20"/>
        </w:rPr>
        <w:t xml:space="preserve"> come from vulture-like questioners wanting to dig into your disabled body, she writes. But she also points out positive reasons to disclose disability — even in the context of </w:t>
      </w:r>
      <w:r w:rsidRPr="00943F29">
        <w:rPr>
          <w:rFonts w:ascii="Times" w:hAnsi="Times" w:cs="Times New Roman"/>
          <w:i/>
          <w:iCs/>
          <w:sz w:val="20"/>
          <w:szCs w:val="20"/>
        </w:rPr>
        <w:t>academic</w:t>
      </w:r>
      <w:r w:rsidRPr="00943F29">
        <w:rPr>
          <w:rFonts w:ascii="Times" w:hAnsi="Times" w:cs="Times New Roman"/>
          <w:sz w:val="20"/>
          <w:szCs w:val="20"/>
        </w:rPr>
        <w:t xml:space="preserve"> writing (let alone in less-formal writing such as opinion-based journalism) — that would give the writer </w:t>
      </w:r>
      <w:r w:rsidRPr="00943F29">
        <w:rPr>
          <w:rFonts w:ascii="Times" w:hAnsi="Times" w:cs="Times New Roman"/>
          <w:i/>
          <w:iCs/>
          <w:sz w:val="20"/>
          <w:szCs w:val="20"/>
        </w:rPr>
        <w:t>more</w:t>
      </w:r>
      <w:r w:rsidRPr="00943F29">
        <w:rPr>
          <w:rFonts w:ascii="Times" w:hAnsi="Times" w:cs="Times New Roman"/>
          <w:sz w:val="20"/>
          <w:szCs w:val="20"/>
        </w:rPr>
        <w:t xml:space="preserve"> agency rather than less. </w:t>
      </w:r>
    </w:p>
    <w:p w:rsidR="00943F29" w:rsidRPr="00943F29" w:rsidRDefault="00943F29" w:rsidP="00943F29">
      <w:pPr>
        <w:spacing w:before="100" w:beforeAutospacing="1" w:after="100" w:afterAutospacing="1"/>
        <w:rPr>
          <w:rFonts w:ascii="Times" w:hAnsi="Times" w:cs="Times New Roman"/>
          <w:sz w:val="20"/>
          <w:szCs w:val="20"/>
        </w:rPr>
      </w:pPr>
      <w:r w:rsidRPr="00943F29">
        <w:rPr>
          <w:rFonts w:ascii="Times" w:hAnsi="Times" w:cs="Times New Roman"/>
          <w:sz w:val="20"/>
          <w:szCs w:val="20"/>
        </w:rPr>
        <w:t xml:space="preserve">One reason she offered caught my eye in particular. Disclosure, she wrote, </w:t>
      </w:r>
      <w:proofErr w:type="gramStart"/>
      <w:r w:rsidRPr="00943F29">
        <w:rPr>
          <w:rFonts w:ascii="Times" w:hAnsi="Times" w:cs="Times New Roman"/>
          <w:sz w:val="20"/>
          <w:szCs w:val="20"/>
        </w:rPr>
        <w:t>can</w:t>
      </w:r>
      <w:proofErr w:type="gramEnd"/>
      <w:r w:rsidRPr="00943F29">
        <w:rPr>
          <w:rFonts w:ascii="Times" w:hAnsi="Times" w:cs="Times New Roman"/>
          <w:sz w:val="20"/>
          <w:szCs w:val="20"/>
        </w:rPr>
        <w:t xml:space="preserve"> provide “</w:t>
      </w:r>
      <w:proofErr w:type="spellStart"/>
      <w:r w:rsidRPr="00943F29">
        <w:rPr>
          <w:rFonts w:ascii="Times" w:hAnsi="Times" w:cs="Times New Roman"/>
          <w:sz w:val="20"/>
          <w:szCs w:val="20"/>
        </w:rPr>
        <w:t>counternarratives</w:t>
      </w:r>
      <w:proofErr w:type="spellEnd"/>
      <w:r w:rsidRPr="00943F29">
        <w:rPr>
          <w:rFonts w:ascii="Times" w:hAnsi="Times" w:cs="Times New Roman"/>
          <w:sz w:val="20"/>
          <w:szCs w:val="20"/>
        </w:rPr>
        <w:t xml:space="preserve"> that contest, resist, or challenge prevailing cultural assumptions about disability.” In other words — as critical race theory, critical race feminism, and feminism have been observing for decades — telling your story in your own words is a great way to rebut someone else telling your story for you, and telling it wrongly. </w:t>
      </w:r>
    </w:p>
    <w:p w:rsidR="00943F29" w:rsidRPr="00943F29" w:rsidRDefault="00943F29" w:rsidP="00943F29">
      <w:pPr>
        <w:spacing w:before="100" w:beforeAutospacing="1" w:after="100" w:afterAutospacing="1"/>
        <w:rPr>
          <w:rFonts w:ascii="Times" w:hAnsi="Times" w:cs="Times New Roman"/>
          <w:sz w:val="20"/>
          <w:szCs w:val="20"/>
        </w:rPr>
      </w:pPr>
      <w:r w:rsidRPr="00943F29">
        <w:rPr>
          <w:rFonts w:ascii="Times" w:hAnsi="Times" w:cs="Times New Roman"/>
          <w:b/>
          <w:bCs/>
          <w:sz w:val="20"/>
          <w:szCs w:val="20"/>
        </w:rPr>
        <w:t>Revisiting Disclosure: Whose Burden?</w:t>
      </w:r>
      <w:r w:rsidRPr="00943F29">
        <w:rPr>
          <w:rFonts w:ascii="Times" w:hAnsi="Times" w:cs="Times New Roman"/>
          <w:sz w:val="20"/>
          <w:szCs w:val="20"/>
        </w:rPr>
        <w:t xml:space="preserve"> </w:t>
      </w:r>
    </w:p>
    <w:p w:rsidR="00943F29" w:rsidRPr="00943F29" w:rsidRDefault="00943F29" w:rsidP="00943F29">
      <w:pPr>
        <w:spacing w:before="100" w:beforeAutospacing="1" w:after="100" w:afterAutospacing="1"/>
        <w:rPr>
          <w:rFonts w:ascii="Times" w:hAnsi="Times" w:cs="Times New Roman"/>
          <w:sz w:val="20"/>
          <w:szCs w:val="20"/>
        </w:rPr>
      </w:pPr>
      <w:r w:rsidRPr="00943F29">
        <w:rPr>
          <w:rFonts w:ascii="Times" w:hAnsi="Times" w:cs="Times New Roman"/>
          <w:sz w:val="20"/>
          <w:szCs w:val="20"/>
        </w:rPr>
        <w:t xml:space="preserve">But when telling your story includes discussing a highly stigmatized mental illness that </w:t>
      </w:r>
      <w:hyperlink r:id="rId16" w:history="1">
        <w:r w:rsidRPr="00943F29">
          <w:rPr>
            <w:rFonts w:ascii="Times" w:hAnsi="Times" w:cs="Times New Roman"/>
            <w:color w:val="0000FF"/>
            <w:sz w:val="20"/>
            <w:szCs w:val="20"/>
            <w:u w:val="single"/>
          </w:rPr>
          <w:t>would cause a majority of people to eye you with fear</w:t>
        </w:r>
      </w:hyperlink>
      <w:r w:rsidRPr="00943F29">
        <w:rPr>
          <w:rFonts w:ascii="Times" w:hAnsi="Times" w:cs="Times New Roman"/>
          <w:sz w:val="20"/>
          <w:szCs w:val="20"/>
        </w:rPr>
        <w:t xml:space="preserve">, what then? Do you disclose and allow your narrative to prove that you are not what the stigmatized stereotype says that you are? Do you let your testimony prove to the world that you are fully human and deserve to be treated humanely? </w:t>
      </w:r>
    </w:p>
    <w:p w:rsidR="00943F29" w:rsidRPr="00943F29" w:rsidRDefault="00943F29" w:rsidP="00943F29">
      <w:pPr>
        <w:spacing w:before="100" w:beforeAutospacing="1" w:after="100" w:afterAutospacing="1"/>
        <w:rPr>
          <w:rFonts w:ascii="Times" w:hAnsi="Times" w:cs="Times New Roman"/>
          <w:sz w:val="20"/>
          <w:szCs w:val="20"/>
        </w:rPr>
      </w:pPr>
      <w:r w:rsidRPr="00943F29">
        <w:rPr>
          <w:rFonts w:ascii="Times" w:hAnsi="Times" w:cs="Times New Roman"/>
          <w:sz w:val="20"/>
          <w:szCs w:val="20"/>
        </w:rPr>
        <w:t xml:space="preserve">I don’t know if disclosure can do all of this rhetorical work. Sometimes that seems like too great of a burden for one’s words to bear. </w:t>
      </w:r>
    </w:p>
    <w:p w:rsidR="00943F29" w:rsidRPr="00943F29" w:rsidRDefault="00943F29" w:rsidP="00943F29">
      <w:pPr>
        <w:spacing w:before="100" w:beforeAutospacing="1" w:after="100" w:afterAutospacing="1"/>
        <w:rPr>
          <w:rFonts w:ascii="Times" w:hAnsi="Times" w:cs="Times New Roman"/>
          <w:sz w:val="20"/>
          <w:szCs w:val="20"/>
        </w:rPr>
      </w:pPr>
      <w:r w:rsidRPr="00943F29">
        <w:rPr>
          <w:rFonts w:ascii="Times" w:hAnsi="Times" w:cs="Times New Roman"/>
          <w:sz w:val="20"/>
          <w:szCs w:val="20"/>
        </w:rPr>
        <w:t xml:space="preserve">Perhaps the burden shouldn’t be on people with mental-health issues to tell our stories for others to examine. Instead, perhaps we should all be asking ourselves some questions, like: When students or colleagues disclose that they have a psychiatric disability and need accommodations, what is our gut-level reaction? Is it one of sympathy? Or do we feel resentment that this person gets special treatment? Are we afraid of, or annoyed by, their quirks — that is, by the manifestations (if any) of their disabilities? </w:t>
      </w:r>
    </w:p>
    <w:p w:rsidR="00943F29" w:rsidRPr="00943F29" w:rsidRDefault="00943F29" w:rsidP="00943F29">
      <w:pPr>
        <w:spacing w:before="100" w:beforeAutospacing="1" w:after="100" w:afterAutospacing="1"/>
        <w:rPr>
          <w:rFonts w:ascii="Times" w:hAnsi="Times" w:cs="Times New Roman"/>
          <w:sz w:val="20"/>
          <w:szCs w:val="20"/>
        </w:rPr>
      </w:pPr>
      <w:r w:rsidRPr="00943F29">
        <w:rPr>
          <w:rFonts w:ascii="Times" w:hAnsi="Times" w:cs="Times New Roman"/>
          <w:sz w:val="20"/>
          <w:szCs w:val="20"/>
        </w:rPr>
        <w:t xml:space="preserve">Or do we embrace the difference they bring to our departments and classrooms? </w:t>
      </w:r>
    </w:p>
    <w:p w:rsidR="00943F29" w:rsidRPr="00943F29" w:rsidRDefault="00943F29" w:rsidP="00943F29">
      <w:pPr>
        <w:spacing w:before="100" w:beforeAutospacing="1" w:after="100" w:afterAutospacing="1"/>
        <w:rPr>
          <w:rFonts w:ascii="Times" w:hAnsi="Times" w:cs="Times New Roman"/>
          <w:sz w:val="20"/>
          <w:szCs w:val="20"/>
        </w:rPr>
      </w:pPr>
      <w:r w:rsidRPr="00943F29">
        <w:rPr>
          <w:rFonts w:ascii="Times" w:hAnsi="Times" w:cs="Times New Roman"/>
          <w:sz w:val="20"/>
          <w:szCs w:val="20"/>
        </w:rPr>
        <w:t xml:space="preserve">I’m willing to bet that “embracing difference” is not the common response. I’m willing to make that bet because of my own experiences, because of the reactions I get from my writing, and because of how colleagues (well, former colleagues) talk about mental illness when they don’t know who is paying attention. </w:t>
      </w:r>
    </w:p>
    <w:p w:rsidR="00943F29" w:rsidRPr="00943F29" w:rsidRDefault="00943F29" w:rsidP="00943F29">
      <w:pPr>
        <w:spacing w:before="100" w:beforeAutospacing="1" w:after="100" w:afterAutospacing="1"/>
        <w:rPr>
          <w:rFonts w:ascii="Times" w:hAnsi="Times" w:cs="Times New Roman"/>
          <w:sz w:val="20"/>
          <w:szCs w:val="20"/>
        </w:rPr>
      </w:pPr>
      <w:r w:rsidRPr="00943F29">
        <w:rPr>
          <w:rFonts w:ascii="Times" w:hAnsi="Times" w:cs="Times New Roman"/>
          <w:sz w:val="20"/>
          <w:szCs w:val="20"/>
        </w:rPr>
        <w:t xml:space="preserve">So to my </w:t>
      </w:r>
      <w:proofErr w:type="spellStart"/>
      <w:r w:rsidRPr="00943F29">
        <w:rPr>
          <w:rFonts w:ascii="Times" w:hAnsi="Times" w:cs="Times New Roman"/>
          <w:sz w:val="20"/>
          <w:szCs w:val="20"/>
        </w:rPr>
        <w:t>nontenured</w:t>
      </w:r>
      <w:proofErr w:type="spellEnd"/>
      <w:r w:rsidRPr="00943F29">
        <w:rPr>
          <w:rFonts w:ascii="Times" w:hAnsi="Times" w:cs="Times New Roman"/>
          <w:sz w:val="20"/>
          <w:szCs w:val="20"/>
        </w:rPr>
        <w:t xml:space="preserve"> colleagues with psychiatric disabilities: Don’t disclose, not yet. Let your counterparts with tenure handle this campaign for a while. Or leave it to people like me who are beyond the academic chopping block. </w:t>
      </w:r>
    </w:p>
    <w:p w:rsidR="00943F29" w:rsidRPr="00943F29" w:rsidRDefault="00943F29" w:rsidP="00943F29">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1901190" cy="1901190"/>
            <wp:effectExtent l="0" t="0" r="3810" b="3810"/>
            <wp:docPr id="2" name="Picture 2" descr="atie Rose Guest Pr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ie Rose Guest Pry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1190" cy="1901190"/>
                    </a:xfrm>
                    <a:prstGeom prst="rect">
                      <a:avLst/>
                    </a:prstGeom>
                    <a:noFill/>
                    <a:ln>
                      <a:noFill/>
                    </a:ln>
                  </pic:spPr>
                </pic:pic>
              </a:graphicData>
            </a:graphic>
          </wp:inline>
        </w:drawing>
      </w:r>
    </w:p>
    <w:p w:rsidR="00943F29" w:rsidRPr="00943F29" w:rsidRDefault="00943F29" w:rsidP="00943F29">
      <w:pPr>
        <w:spacing w:before="100" w:beforeAutospacing="1" w:after="100" w:afterAutospacing="1"/>
        <w:rPr>
          <w:rFonts w:ascii="Times" w:hAnsi="Times" w:cs="Times New Roman"/>
          <w:sz w:val="20"/>
          <w:szCs w:val="20"/>
        </w:rPr>
      </w:pPr>
      <w:hyperlink r:id="rId18" w:history="1">
        <w:r w:rsidRPr="00943F29">
          <w:rPr>
            <w:rFonts w:ascii="Times" w:hAnsi="Times" w:cs="Times New Roman"/>
            <w:color w:val="0000FF"/>
            <w:sz w:val="20"/>
            <w:szCs w:val="20"/>
            <w:u w:val="single"/>
          </w:rPr>
          <w:t xml:space="preserve">Katie Rose Guest </w:t>
        </w:r>
        <w:proofErr w:type="spellStart"/>
        <w:r w:rsidRPr="00943F29">
          <w:rPr>
            <w:rFonts w:ascii="Times" w:hAnsi="Times" w:cs="Times New Roman"/>
            <w:color w:val="0000FF"/>
            <w:sz w:val="20"/>
            <w:szCs w:val="20"/>
            <w:u w:val="single"/>
          </w:rPr>
          <w:t>Pryal</w:t>
        </w:r>
        <w:proofErr w:type="spellEnd"/>
      </w:hyperlink>
      <w:r w:rsidRPr="00943F29">
        <w:rPr>
          <w:rFonts w:ascii="Times" w:hAnsi="Times" w:cs="Times New Roman"/>
          <w:sz w:val="20"/>
          <w:szCs w:val="20"/>
        </w:rPr>
        <w:t xml:space="preserve"> is a Vitae columnist and former clinical (that means “non-tenure-track”) associate professor of law at the University of North Carolina at Chapel Hill who specializes in higher education, mental health, and social-justice issues. </w:t>
      </w:r>
    </w:p>
    <w:p w:rsidR="00943F29" w:rsidRPr="00943F29" w:rsidRDefault="00943F29" w:rsidP="00943F29">
      <w:pPr>
        <w:pBdr>
          <w:bottom w:val="single" w:sz="6" w:space="1" w:color="auto"/>
        </w:pBdr>
        <w:jc w:val="center"/>
        <w:rPr>
          <w:rFonts w:ascii="Arial" w:hAnsi="Arial" w:cs="Arial"/>
          <w:vanish/>
          <w:sz w:val="16"/>
          <w:szCs w:val="16"/>
        </w:rPr>
      </w:pPr>
      <w:r w:rsidRPr="00943F29">
        <w:rPr>
          <w:rFonts w:ascii="Arial" w:hAnsi="Arial" w:cs="Arial"/>
          <w:vanish/>
          <w:sz w:val="16"/>
          <w:szCs w:val="16"/>
        </w:rPr>
        <w:t>Top of Form</w:t>
      </w:r>
    </w:p>
    <w:p w:rsidR="00943F29" w:rsidRPr="00943F29" w:rsidRDefault="00943F29" w:rsidP="00943F29">
      <w:pPr>
        <w:pBdr>
          <w:top w:val="single" w:sz="6" w:space="1" w:color="auto"/>
        </w:pBdr>
        <w:jc w:val="center"/>
        <w:rPr>
          <w:rFonts w:ascii="Arial" w:hAnsi="Arial" w:cs="Arial"/>
          <w:vanish/>
          <w:sz w:val="16"/>
          <w:szCs w:val="16"/>
        </w:rPr>
      </w:pPr>
      <w:r w:rsidRPr="00943F29">
        <w:rPr>
          <w:rFonts w:ascii="Arial" w:hAnsi="Arial" w:cs="Arial"/>
          <w:vanish/>
          <w:sz w:val="16"/>
          <w:szCs w:val="16"/>
        </w:rPr>
        <w:t>Bottom of Form</w:t>
      </w:r>
    </w:p>
    <w:p w:rsidR="00943F29" w:rsidRPr="00943F29" w:rsidRDefault="00943F29" w:rsidP="00943F29">
      <w:pPr>
        <w:rPr>
          <w:rFonts w:ascii="Times" w:eastAsia="Times New Roman" w:hAnsi="Times" w:cs="Times New Roman"/>
          <w:sz w:val="20"/>
          <w:szCs w:val="20"/>
        </w:rPr>
      </w:pPr>
      <w:r w:rsidRPr="00943F29">
        <w:rPr>
          <w:rFonts w:ascii="Times" w:eastAsia="Times New Roman" w:hAnsi="Times" w:cs="Times New Roman"/>
          <w:sz w:val="20"/>
          <w:szCs w:val="20"/>
        </w:rPr>
        <w:t>- See more at: https://chroniclevitae.com/news/1047-revisiting-disclosure</w:t>
      </w:r>
      <w:proofErr w:type="gramStart"/>
      <w:r w:rsidRPr="00943F29">
        <w:rPr>
          <w:rFonts w:ascii="Times" w:eastAsia="Times New Roman" w:hAnsi="Times" w:cs="Times New Roman"/>
          <w:sz w:val="20"/>
          <w:szCs w:val="20"/>
        </w:rPr>
        <w:t>?cid</w:t>
      </w:r>
      <w:proofErr w:type="gramEnd"/>
      <w:r w:rsidRPr="00943F29">
        <w:rPr>
          <w:rFonts w:ascii="Times" w:eastAsia="Times New Roman" w:hAnsi="Times" w:cs="Times New Roman"/>
          <w:sz w:val="20"/>
          <w:szCs w:val="20"/>
        </w:rPr>
        <w:t>=VTEVPMSED1#sthash.FjIHVRPc.dpuf</w:t>
      </w:r>
    </w:p>
    <w:p w:rsidR="00ED504B" w:rsidRDefault="00ED504B"/>
    <w:sectPr w:rsidR="00ED504B" w:rsidSect="00ED50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A48F2"/>
    <w:multiLevelType w:val="multilevel"/>
    <w:tmpl w:val="603C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F29"/>
    <w:rsid w:val="00943F29"/>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2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43F2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F29"/>
    <w:rPr>
      <w:rFonts w:ascii="Times" w:hAnsi="Times"/>
      <w:b/>
      <w:bCs/>
      <w:kern w:val="36"/>
      <w:sz w:val="48"/>
      <w:szCs w:val="48"/>
    </w:rPr>
  </w:style>
  <w:style w:type="paragraph" w:styleId="NormalWeb">
    <w:name w:val="Normal (Web)"/>
    <w:basedOn w:val="Normal"/>
    <w:uiPriority w:val="99"/>
    <w:semiHidden/>
    <w:unhideWhenUsed/>
    <w:rsid w:val="00943F2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943F29"/>
    <w:rPr>
      <w:color w:val="0000FF"/>
      <w:u w:val="single"/>
    </w:rPr>
  </w:style>
  <w:style w:type="character" w:styleId="Strong">
    <w:name w:val="Strong"/>
    <w:basedOn w:val="DefaultParagraphFont"/>
    <w:uiPriority w:val="22"/>
    <w:qFormat/>
    <w:rsid w:val="00943F29"/>
    <w:rPr>
      <w:b/>
      <w:bCs/>
    </w:rPr>
  </w:style>
  <w:style w:type="character" w:styleId="Emphasis">
    <w:name w:val="Emphasis"/>
    <w:basedOn w:val="DefaultParagraphFont"/>
    <w:uiPriority w:val="20"/>
    <w:qFormat/>
    <w:rsid w:val="00943F29"/>
    <w:rPr>
      <w:i/>
      <w:iCs/>
    </w:rPr>
  </w:style>
  <w:style w:type="paragraph" w:customStyle="1" w:styleId="universal-ctabody">
    <w:name w:val="universal-cta__body"/>
    <w:basedOn w:val="Normal"/>
    <w:rsid w:val="00943F29"/>
    <w:pPr>
      <w:spacing w:before="100" w:beforeAutospacing="1" w:after="100" w:afterAutospacing="1"/>
    </w:pPr>
    <w:rPr>
      <w:rFonts w:ascii="Times" w:hAnsi="Times"/>
      <w:sz w:val="20"/>
      <w:szCs w:val="20"/>
    </w:rPr>
  </w:style>
  <w:style w:type="paragraph" w:customStyle="1" w:styleId="universal-ctacta">
    <w:name w:val="universal-cta__cta"/>
    <w:basedOn w:val="Normal"/>
    <w:rsid w:val="00943F29"/>
    <w:pPr>
      <w:spacing w:before="100" w:beforeAutospacing="1" w:after="100" w:afterAutospacing="1"/>
    </w:pPr>
    <w:rPr>
      <w:rFonts w:ascii="Times" w:hAnsi="Times"/>
      <w:sz w:val="20"/>
      <w:szCs w:val="20"/>
    </w:rPr>
  </w:style>
  <w:style w:type="character" w:customStyle="1" w:styleId="universal-ctapeer-pressure">
    <w:name w:val="universal-cta__peer-pressure"/>
    <w:basedOn w:val="DefaultParagraphFont"/>
    <w:rsid w:val="00943F29"/>
  </w:style>
  <w:style w:type="paragraph" w:customStyle="1" w:styleId="articlebylinetagline">
    <w:name w:val="article__byline__tagline"/>
    <w:basedOn w:val="Normal"/>
    <w:rsid w:val="00943F29"/>
    <w:pPr>
      <w:spacing w:before="100" w:beforeAutospacing="1" w:after="100" w:afterAutospacing="1"/>
    </w:pPr>
    <w:rPr>
      <w:rFonts w:ascii="Times" w:hAnsi="Times"/>
      <w:sz w:val="20"/>
      <w:szCs w:val="20"/>
    </w:rPr>
  </w:style>
  <w:style w:type="paragraph" w:customStyle="1" w:styleId="articlebylinemore">
    <w:name w:val="article__byline__more"/>
    <w:basedOn w:val="Normal"/>
    <w:rsid w:val="00943F29"/>
    <w:pPr>
      <w:spacing w:before="100" w:beforeAutospacing="1" w:after="100" w:afterAutospacing="1"/>
    </w:pPr>
    <w:rPr>
      <w:rFonts w:ascii="Times" w:hAnsi="Times"/>
      <w:sz w:val="20"/>
      <w:szCs w:val="20"/>
    </w:rPr>
  </w:style>
  <w:style w:type="paragraph" w:styleId="z-TopofForm">
    <w:name w:val="HTML Top of Form"/>
    <w:basedOn w:val="Normal"/>
    <w:next w:val="Normal"/>
    <w:link w:val="z-TopofFormChar"/>
    <w:hidden/>
    <w:uiPriority w:val="99"/>
    <w:semiHidden/>
    <w:unhideWhenUsed/>
    <w:rsid w:val="00943F2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43F2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43F2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43F29"/>
    <w:rPr>
      <w:rFonts w:ascii="Arial" w:hAnsi="Arial" w:cs="Arial"/>
      <w:vanish/>
      <w:sz w:val="16"/>
      <w:szCs w:val="16"/>
    </w:rPr>
  </w:style>
  <w:style w:type="paragraph" w:styleId="BalloonText">
    <w:name w:val="Balloon Text"/>
    <w:basedOn w:val="Normal"/>
    <w:link w:val="BalloonTextChar"/>
    <w:uiPriority w:val="99"/>
    <w:semiHidden/>
    <w:unhideWhenUsed/>
    <w:rsid w:val="00943F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3F2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43F2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F29"/>
    <w:rPr>
      <w:rFonts w:ascii="Times" w:hAnsi="Times"/>
      <w:b/>
      <w:bCs/>
      <w:kern w:val="36"/>
      <w:sz w:val="48"/>
      <w:szCs w:val="48"/>
    </w:rPr>
  </w:style>
  <w:style w:type="paragraph" w:styleId="NormalWeb">
    <w:name w:val="Normal (Web)"/>
    <w:basedOn w:val="Normal"/>
    <w:uiPriority w:val="99"/>
    <w:semiHidden/>
    <w:unhideWhenUsed/>
    <w:rsid w:val="00943F2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943F29"/>
    <w:rPr>
      <w:color w:val="0000FF"/>
      <w:u w:val="single"/>
    </w:rPr>
  </w:style>
  <w:style w:type="character" w:styleId="Strong">
    <w:name w:val="Strong"/>
    <w:basedOn w:val="DefaultParagraphFont"/>
    <w:uiPriority w:val="22"/>
    <w:qFormat/>
    <w:rsid w:val="00943F29"/>
    <w:rPr>
      <w:b/>
      <w:bCs/>
    </w:rPr>
  </w:style>
  <w:style w:type="character" w:styleId="Emphasis">
    <w:name w:val="Emphasis"/>
    <w:basedOn w:val="DefaultParagraphFont"/>
    <w:uiPriority w:val="20"/>
    <w:qFormat/>
    <w:rsid w:val="00943F29"/>
    <w:rPr>
      <w:i/>
      <w:iCs/>
    </w:rPr>
  </w:style>
  <w:style w:type="paragraph" w:customStyle="1" w:styleId="universal-ctabody">
    <w:name w:val="universal-cta__body"/>
    <w:basedOn w:val="Normal"/>
    <w:rsid w:val="00943F29"/>
    <w:pPr>
      <w:spacing w:before="100" w:beforeAutospacing="1" w:after="100" w:afterAutospacing="1"/>
    </w:pPr>
    <w:rPr>
      <w:rFonts w:ascii="Times" w:hAnsi="Times"/>
      <w:sz w:val="20"/>
      <w:szCs w:val="20"/>
    </w:rPr>
  </w:style>
  <w:style w:type="paragraph" w:customStyle="1" w:styleId="universal-ctacta">
    <w:name w:val="universal-cta__cta"/>
    <w:basedOn w:val="Normal"/>
    <w:rsid w:val="00943F29"/>
    <w:pPr>
      <w:spacing w:before="100" w:beforeAutospacing="1" w:after="100" w:afterAutospacing="1"/>
    </w:pPr>
    <w:rPr>
      <w:rFonts w:ascii="Times" w:hAnsi="Times"/>
      <w:sz w:val="20"/>
      <w:szCs w:val="20"/>
    </w:rPr>
  </w:style>
  <w:style w:type="character" w:customStyle="1" w:styleId="universal-ctapeer-pressure">
    <w:name w:val="universal-cta__peer-pressure"/>
    <w:basedOn w:val="DefaultParagraphFont"/>
    <w:rsid w:val="00943F29"/>
  </w:style>
  <w:style w:type="paragraph" w:customStyle="1" w:styleId="articlebylinetagline">
    <w:name w:val="article__byline__tagline"/>
    <w:basedOn w:val="Normal"/>
    <w:rsid w:val="00943F29"/>
    <w:pPr>
      <w:spacing w:before="100" w:beforeAutospacing="1" w:after="100" w:afterAutospacing="1"/>
    </w:pPr>
    <w:rPr>
      <w:rFonts w:ascii="Times" w:hAnsi="Times"/>
      <w:sz w:val="20"/>
      <w:szCs w:val="20"/>
    </w:rPr>
  </w:style>
  <w:style w:type="paragraph" w:customStyle="1" w:styleId="articlebylinemore">
    <w:name w:val="article__byline__more"/>
    <w:basedOn w:val="Normal"/>
    <w:rsid w:val="00943F29"/>
    <w:pPr>
      <w:spacing w:before="100" w:beforeAutospacing="1" w:after="100" w:afterAutospacing="1"/>
    </w:pPr>
    <w:rPr>
      <w:rFonts w:ascii="Times" w:hAnsi="Times"/>
      <w:sz w:val="20"/>
      <w:szCs w:val="20"/>
    </w:rPr>
  </w:style>
  <w:style w:type="paragraph" w:styleId="z-TopofForm">
    <w:name w:val="HTML Top of Form"/>
    <w:basedOn w:val="Normal"/>
    <w:next w:val="Normal"/>
    <w:link w:val="z-TopofFormChar"/>
    <w:hidden/>
    <w:uiPriority w:val="99"/>
    <w:semiHidden/>
    <w:unhideWhenUsed/>
    <w:rsid w:val="00943F2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43F2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43F2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43F29"/>
    <w:rPr>
      <w:rFonts w:ascii="Arial" w:hAnsi="Arial" w:cs="Arial"/>
      <w:vanish/>
      <w:sz w:val="16"/>
      <w:szCs w:val="16"/>
    </w:rPr>
  </w:style>
  <w:style w:type="paragraph" w:styleId="BalloonText">
    <w:name w:val="Balloon Text"/>
    <w:basedOn w:val="Normal"/>
    <w:link w:val="BalloonTextChar"/>
    <w:uiPriority w:val="99"/>
    <w:semiHidden/>
    <w:unhideWhenUsed/>
    <w:rsid w:val="00943F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3F2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569826">
      <w:bodyDiv w:val="1"/>
      <w:marLeft w:val="0"/>
      <w:marRight w:val="0"/>
      <w:marTop w:val="0"/>
      <w:marBottom w:val="0"/>
      <w:divBdr>
        <w:top w:val="none" w:sz="0" w:space="0" w:color="auto"/>
        <w:left w:val="none" w:sz="0" w:space="0" w:color="auto"/>
        <w:bottom w:val="none" w:sz="0" w:space="0" w:color="auto"/>
        <w:right w:val="none" w:sz="0" w:space="0" w:color="auto"/>
      </w:divBdr>
      <w:divsChild>
        <w:div w:id="1305355517">
          <w:marLeft w:val="0"/>
          <w:marRight w:val="0"/>
          <w:marTop w:val="0"/>
          <w:marBottom w:val="0"/>
          <w:divBdr>
            <w:top w:val="none" w:sz="0" w:space="0" w:color="auto"/>
            <w:left w:val="none" w:sz="0" w:space="0" w:color="auto"/>
            <w:bottom w:val="none" w:sz="0" w:space="0" w:color="auto"/>
            <w:right w:val="none" w:sz="0" w:space="0" w:color="auto"/>
          </w:divBdr>
          <w:divsChild>
            <w:div w:id="289942602">
              <w:marLeft w:val="0"/>
              <w:marRight w:val="0"/>
              <w:marTop w:val="0"/>
              <w:marBottom w:val="0"/>
              <w:divBdr>
                <w:top w:val="none" w:sz="0" w:space="0" w:color="auto"/>
                <w:left w:val="none" w:sz="0" w:space="0" w:color="auto"/>
                <w:bottom w:val="none" w:sz="0" w:space="0" w:color="auto"/>
                <w:right w:val="none" w:sz="0" w:space="0" w:color="auto"/>
              </w:divBdr>
            </w:div>
            <w:div w:id="425152376">
              <w:marLeft w:val="0"/>
              <w:marRight w:val="0"/>
              <w:marTop w:val="0"/>
              <w:marBottom w:val="0"/>
              <w:divBdr>
                <w:top w:val="none" w:sz="0" w:space="0" w:color="auto"/>
                <w:left w:val="none" w:sz="0" w:space="0" w:color="auto"/>
                <w:bottom w:val="none" w:sz="0" w:space="0" w:color="auto"/>
                <w:right w:val="none" w:sz="0" w:space="0" w:color="auto"/>
              </w:divBdr>
            </w:div>
            <w:div w:id="1366641701">
              <w:marLeft w:val="0"/>
              <w:marRight w:val="0"/>
              <w:marTop w:val="0"/>
              <w:marBottom w:val="0"/>
              <w:divBdr>
                <w:top w:val="none" w:sz="0" w:space="0" w:color="auto"/>
                <w:left w:val="none" w:sz="0" w:space="0" w:color="auto"/>
                <w:bottom w:val="none" w:sz="0" w:space="0" w:color="auto"/>
                <w:right w:val="none" w:sz="0" w:space="0" w:color="auto"/>
              </w:divBdr>
            </w:div>
            <w:div w:id="997268104">
              <w:marLeft w:val="0"/>
              <w:marRight w:val="0"/>
              <w:marTop w:val="0"/>
              <w:marBottom w:val="0"/>
              <w:divBdr>
                <w:top w:val="none" w:sz="0" w:space="0" w:color="auto"/>
                <w:left w:val="none" w:sz="0" w:space="0" w:color="auto"/>
                <w:bottom w:val="none" w:sz="0" w:space="0" w:color="auto"/>
                <w:right w:val="none" w:sz="0" w:space="0" w:color="auto"/>
              </w:divBdr>
            </w:div>
            <w:div w:id="2130276478">
              <w:marLeft w:val="0"/>
              <w:marRight w:val="0"/>
              <w:marTop w:val="0"/>
              <w:marBottom w:val="0"/>
              <w:divBdr>
                <w:top w:val="none" w:sz="0" w:space="0" w:color="auto"/>
                <w:left w:val="none" w:sz="0" w:space="0" w:color="auto"/>
                <w:bottom w:val="none" w:sz="0" w:space="0" w:color="auto"/>
                <w:right w:val="none" w:sz="0" w:space="0" w:color="auto"/>
              </w:divBdr>
              <w:divsChild>
                <w:div w:id="9705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chroniclevitae.com/news/939-losing-my-affiliation" TargetMode="External"/><Relationship Id="rId20" Type="http://schemas.openxmlformats.org/officeDocument/2006/relationships/theme" Target="theme/theme1.xml"/><Relationship Id="rId10" Type="http://schemas.openxmlformats.org/officeDocument/2006/relationships/hyperlink" Target="http://katieroseguestpryal.com/2015/04/17/unexpected-ways/" TargetMode="External"/><Relationship Id="rId11" Type="http://schemas.openxmlformats.org/officeDocument/2006/relationships/hyperlink" Target="https://chroniclevitae.com/news/546-disclosure-blues-should-you-tell-colleagues-about-your-mental-illness" TargetMode="External"/><Relationship Id="rId12" Type="http://schemas.openxmlformats.org/officeDocument/2006/relationships/hyperlink" Target="https://chroniclevitae.com/news/809-rough-accommodations" TargetMode="External"/><Relationship Id="rId13" Type="http://schemas.openxmlformats.org/officeDocument/2006/relationships/hyperlink" Target="http://journal.frontiersin.org/article/10.3389/fpsyg.2014.00701/full" TargetMode="External"/><Relationship Id="rId14" Type="http://schemas.openxmlformats.org/officeDocument/2006/relationships/hyperlink" Target="http://www.hybridpedagogy.com/journal/a-lecturers-almanac/" TargetMode="External"/><Relationship Id="rId15" Type="http://schemas.openxmlformats.org/officeDocument/2006/relationships/hyperlink" Target="http://www.tandfonline.com/doi/abs/10.1080/07350198.2014.856730" TargetMode="External"/><Relationship Id="rId16" Type="http://schemas.openxmlformats.org/officeDocument/2006/relationships/hyperlink" Target="http://www.ncbi.nlm.nih.gov/pmc/articles/PMC1508784/" TargetMode="External"/><Relationship Id="rId17" Type="http://schemas.openxmlformats.org/officeDocument/2006/relationships/image" Target="media/image2.jpeg"/><Relationship Id="rId18" Type="http://schemas.openxmlformats.org/officeDocument/2006/relationships/hyperlink" Target="https://chroniclevitae.com/people/10452-katie-rose-guest-pryal"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hyperlink" Target="https://chroniclevitae.com/news/tags/Life%20of%20the%20Mind%20Interrupted" TargetMode="External"/><Relationship Id="rId8" Type="http://schemas.openxmlformats.org/officeDocument/2006/relationships/hyperlink" Target="https://chroniclevitae.com/news/546-disclosure-blues-should-you-tell-colleagues-about-your-mental-ill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1315</Words>
  <Characters>7496</Characters>
  <Application>Microsoft Macintosh Word</Application>
  <DocSecurity>0</DocSecurity>
  <Lines>62</Lines>
  <Paragraphs>17</Paragraphs>
  <ScaleCrop>false</ScaleCrop>
  <Company/>
  <LinksUpToDate>false</LinksUpToDate>
  <CharactersWithSpaces>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Clark-Ibáñez</dc:creator>
  <cp:keywords/>
  <dc:description/>
  <cp:lastModifiedBy>Marisol Clark-Ibáñez</cp:lastModifiedBy>
  <cp:revision>1</cp:revision>
  <dcterms:created xsi:type="dcterms:W3CDTF">2015-06-29T16:48:00Z</dcterms:created>
  <dcterms:modified xsi:type="dcterms:W3CDTF">2015-06-29T16:49:00Z</dcterms:modified>
</cp:coreProperties>
</file>