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08D" w:rsidRPr="008B1D23" w:rsidRDefault="008C5D07" w:rsidP="00E3208D">
      <w:pPr>
        <w:pStyle w:val="Title"/>
        <w:rPr>
          <w:szCs w:val="24"/>
        </w:rPr>
      </w:pPr>
      <w:r w:rsidRPr="008B1D23">
        <w:rPr>
          <w:szCs w:val="24"/>
        </w:rPr>
        <w:t>CALIFORNIA STATE UNIVERSITY, SAN MARCOS</w:t>
      </w:r>
    </w:p>
    <w:p w:rsidR="00E3208D" w:rsidRPr="008B1D23" w:rsidRDefault="00972C50" w:rsidP="00E3208D">
      <w:pPr>
        <w:pStyle w:val="Title"/>
        <w:rPr>
          <w:szCs w:val="24"/>
        </w:rPr>
      </w:pPr>
      <w:r>
        <w:rPr>
          <w:szCs w:val="24"/>
        </w:rPr>
        <w:t>SCHOOL</w:t>
      </w:r>
      <w:r w:rsidR="008C5D07" w:rsidRPr="008B1D23">
        <w:rPr>
          <w:szCs w:val="24"/>
        </w:rPr>
        <w:t xml:space="preserve"> OF EDUCATION</w:t>
      </w:r>
    </w:p>
    <w:p w:rsidR="00E3208D" w:rsidRPr="008B1D23" w:rsidRDefault="00E3208D" w:rsidP="00E3208D">
      <w:pPr>
        <w:rPr>
          <w:szCs w:val="24"/>
        </w:rPr>
      </w:pPr>
    </w:p>
    <w:p w:rsidR="00E3208D" w:rsidRPr="008B1D23" w:rsidRDefault="0086542C" w:rsidP="00E3208D">
      <w:pPr>
        <w:jc w:val="center"/>
      </w:pPr>
      <w:r w:rsidRPr="008B1D23">
        <w:t>EDSS 530 – Spring 2012</w:t>
      </w:r>
    </w:p>
    <w:p w:rsidR="00E3208D" w:rsidRPr="008B1D23" w:rsidRDefault="008C5D07" w:rsidP="00E3208D">
      <w:pPr>
        <w:jc w:val="center"/>
        <w:rPr>
          <w:b/>
          <w:sz w:val="22"/>
        </w:rPr>
      </w:pPr>
      <w:r w:rsidRPr="008B1D23">
        <w:rPr>
          <w:b/>
          <w:sz w:val="22"/>
        </w:rPr>
        <w:t>SECONDARY SCHOOLING IN THE TWENTY-FIRST CENTURY</w:t>
      </w:r>
    </w:p>
    <w:p w:rsidR="00E3208D" w:rsidRPr="008B1D23" w:rsidRDefault="008B1D23" w:rsidP="00E3208D">
      <w:pPr>
        <w:jc w:val="center"/>
        <w:rPr>
          <w:b/>
          <w:szCs w:val="22"/>
        </w:rPr>
      </w:pPr>
      <w:r>
        <w:rPr>
          <w:b/>
        </w:rPr>
        <w:t>University Hall Room 442/441</w:t>
      </w:r>
    </w:p>
    <w:p w:rsidR="00E3208D" w:rsidRDefault="008B1D23" w:rsidP="00E3208D">
      <w:pPr>
        <w:jc w:val="center"/>
        <w:rPr>
          <w:b/>
          <w:szCs w:val="22"/>
        </w:rPr>
      </w:pPr>
      <w:r>
        <w:rPr>
          <w:b/>
          <w:szCs w:val="22"/>
        </w:rPr>
        <w:t>Monday 8:00 am – 2:15</w:t>
      </w:r>
      <w:r w:rsidR="008C5D07" w:rsidRPr="008B1D23">
        <w:rPr>
          <w:b/>
          <w:szCs w:val="22"/>
        </w:rPr>
        <w:t xml:space="preserve"> pm</w:t>
      </w:r>
    </w:p>
    <w:p w:rsidR="008B1D23" w:rsidRPr="008B1D23" w:rsidRDefault="008B1D23" w:rsidP="00E3208D">
      <w:pPr>
        <w:jc w:val="center"/>
        <w:rPr>
          <w:b/>
          <w:szCs w:val="22"/>
        </w:rPr>
      </w:pPr>
      <w:r>
        <w:rPr>
          <w:b/>
          <w:szCs w:val="22"/>
        </w:rPr>
        <w:t>Tuesday 5:30 pm – 9:45 pm</w:t>
      </w:r>
    </w:p>
    <w:p w:rsidR="00E3208D" w:rsidRPr="008B1D23" w:rsidRDefault="00E3208D" w:rsidP="00E3208D"/>
    <w:tbl>
      <w:tblPr>
        <w:tblW w:w="0" w:type="auto"/>
        <w:tblBorders>
          <w:bottom w:val="single" w:sz="36" w:space="0" w:color="auto"/>
        </w:tblBorders>
        <w:tblLook w:val="01E0"/>
      </w:tblPr>
      <w:tblGrid>
        <w:gridCol w:w="6588"/>
        <w:gridCol w:w="2880"/>
      </w:tblGrid>
      <w:tr w:rsidR="00E3208D" w:rsidRPr="008B1D23">
        <w:trPr>
          <w:trHeight w:val="220"/>
        </w:trPr>
        <w:tc>
          <w:tcPr>
            <w:tcW w:w="6588" w:type="dxa"/>
          </w:tcPr>
          <w:p w:rsidR="00E3208D" w:rsidRPr="008B1D23" w:rsidRDefault="008C5D07" w:rsidP="00E3208D">
            <w:r w:rsidRPr="008B1D23">
              <w:t xml:space="preserve">Professor: </w:t>
            </w:r>
            <w:r w:rsidR="00E3208D" w:rsidRPr="008B1D23">
              <w:t>Jeffery Heil</w:t>
            </w:r>
          </w:p>
        </w:tc>
        <w:tc>
          <w:tcPr>
            <w:tcW w:w="2880" w:type="dxa"/>
          </w:tcPr>
          <w:p w:rsidR="00E3208D" w:rsidRPr="008B1D23" w:rsidRDefault="00FD6F40" w:rsidP="00E3208D">
            <w:r w:rsidRPr="008B1D23">
              <w:t>phone: (619) 944-7599</w:t>
            </w:r>
          </w:p>
        </w:tc>
      </w:tr>
      <w:tr w:rsidR="00E3208D" w:rsidRPr="008B1D23">
        <w:trPr>
          <w:trHeight w:val="220"/>
        </w:trPr>
        <w:tc>
          <w:tcPr>
            <w:tcW w:w="6588" w:type="dxa"/>
          </w:tcPr>
          <w:p w:rsidR="00E3208D" w:rsidRPr="008B1D23" w:rsidRDefault="00FD6F40" w:rsidP="00FD6F40">
            <w:r w:rsidRPr="008B1D23">
              <w:t>Office hours: by appointment</w:t>
            </w:r>
          </w:p>
        </w:tc>
        <w:tc>
          <w:tcPr>
            <w:tcW w:w="2880" w:type="dxa"/>
          </w:tcPr>
          <w:p w:rsidR="00E3208D" w:rsidRPr="008B1D23" w:rsidRDefault="008C5D07" w:rsidP="00FD6F40">
            <w:r w:rsidRPr="008B1D23">
              <w:t xml:space="preserve">Email: </w:t>
            </w:r>
            <w:r w:rsidR="00FD6F40" w:rsidRPr="008B1D23">
              <w:t>jheil</w:t>
            </w:r>
            <w:r w:rsidRPr="008B1D23">
              <w:t>@csusm.edu</w:t>
            </w:r>
          </w:p>
        </w:tc>
      </w:tr>
    </w:tbl>
    <w:p w:rsidR="00E3208D" w:rsidRPr="008B1D23" w:rsidRDefault="00E3208D" w:rsidP="00E3208D">
      <w:pPr>
        <w:pBdr>
          <w:bottom w:val="single" w:sz="12" w:space="1" w:color="auto"/>
        </w:pBdr>
        <w:rPr>
          <w:b/>
          <w:szCs w:val="24"/>
          <w:u w:val="single"/>
        </w:rPr>
      </w:pPr>
    </w:p>
    <w:p w:rsidR="00E3208D" w:rsidRPr="008B1D23" w:rsidRDefault="00972C50" w:rsidP="00E3208D">
      <w:pPr>
        <w:pStyle w:val="Heading1"/>
        <w:spacing w:before="120" w:after="120"/>
        <w:rPr>
          <w:rFonts w:ascii="Times New Roman" w:hAnsi="Times New Roman"/>
          <w:sz w:val="20"/>
          <w:szCs w:val="22"/>
        </w:rPr>
      </w:pPr>
      <w:r>
        <w:rPr>
          <w:rFonts w:ascii="Times New Roman" w:hAnsi="Times New Roman"/>
          <w:sz w:val="20"/>
          <w:szCs w:val="22"/>
        </w:rPr>
        <w:t>School</w:t>
      </w:r>
      <w:r w:rsidR="008C5D07" w:rsidRPr="008B1D23">
        <w:rPr>
          <w:rFonts w:ascii="Times New Roman" w:hAnsi="Times New Roman"/>
          <w:sz w:val="20"/>
          <w:szCs w:val="22"/>
        </w:rPr>
        <w:t xml:space="preserve"> of Education Mission Statement</w:t>
      </w:r>
    </w:p>
    <w:p w:rsidR="00E3208D" w:rsidRPr="008B1D23" w:rsidRDefault="008C5D07" w:rsidP="00E3208D">
      <w:pPr>
        <w:rPr>
          <w:i/>
          <w:szCs w:val="18"/>
        </w:rPr>
      </w:pPr>
      <w:r w:rsidRPr="008B1D23">
        <w:rPr>
          <w:szCs w:val="22"/>
        </w:rPr>
        <w:t xml:space="preserve">The mission of the </w:t>
      </w:r>
      <w:r w:rsidR="00972C50">
        <w:rPr>
          <w:szCs w:val="22"/>
        </w:rPr>
        <w:t>School</w:t>
      </w:r>
      <w:r w:rsidRPr="008B1D23">
        <w:rPr>
          <w:szCs w:val="22"/>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roofErr w:type="gramStart"/>
      <w:r w:rsidRPr="008B1D23">
        <w:rPr>
          <w:i/>
          <w:szCs w:val="18"/>
        </w:rPr>
        <w:t>(Adopted by COE Governance Community, October, 1997).</w:t>
      </w:r>
      <w:proofErr w:type="gramEnd"/>
    </w:p>
    <w:p w:rsidR="00E3208D" w:rsidRPr="008B1D23" w:rsidRDefault="00E3208D" w:rsidP="00E3208D">
      <w:pPr>
        <w:pBdr>
          <w:bottom w:val="single" w:sz="12" w:space="1" w:color="auto"/>
        </w:pBdr>
        <w:rPr>
          <w:color w:val="1F497D" w:themeColor="text2"/>
          <w:szCs w:val="24"/>
          <w:u w:val="single"/>
        </w:rPr>
      </w:pPr>
    </w:p>
    <w:p w:rsidR="00E3208D" w:rsidRPr="008B1D23" w:rsidRDefault="00E3208D" w:rsidP="00E3208D">
      <w:pPr>
        <w:rPr>
          <w:szCs w:val="22"/>
        </w:rPr>
      </w:pPr>
    </w:p>
    <w:p w:rsidR="00E3208D" w:rsidRPr="008B1D23" w:rsidRDefault="008C5D07" w:rsidP="00E3208D">
      <w:pPr>
        <w:pStyle w:val="Heading2"/>
        <w:spacing w:after="120"/>
        <w:rPr>
          <w:sz w:val="20"/>
          <w:szCs w:val="24"/>
        </w:rPr>
      </w:pPr>
      <w:r w:rsidRPr="008B1D23">
        <w:rPr>
          <w:sz w:val="20"/>
          <w:szCs w:val="24"/>
          <w:highlight w:val="yellow"/>
        </w:rPr>
        <w:t>Course Description</w:t>
      </w:r>
    </w:p>
    <w:p w:rsidR="00E3208D" w:rsidRPr="008B1D23" w:rsidRDefault="008C5D07" w:rsidP="00E3208D">
      <w:pPr>
        <w:spacing w:after="120"/>
      </w:pPr>
      <w:r w:rsidRPr="008B1D23">
        <w:t xml:space="preserve">The purpose of this course is to give the future high school teacher the opportunity to explore models and strategies that are on the cutting edge of the high school reform movement as we move forward through the 21st Century. Recent reform documents and </w:t>
      </w:r>
      <w:r w:rsidR="0086542C" w:rsidRPr="008B1D23">
        <w:t>the emergence of online education</w:t>
      </w:r>
      <w:r w:rsidRPr="008B1D23">
        <w:t xml:space="preserve">, with its overarching theme </w:t>
      </w:r>
      <w:r w:rsidR="0086542C" w:rsidRPr="008B1D23">
        <w:t xml:space="preserve">discussed in the book </w:t>
      </w:r>
      <w:r w:rsidR="0086542C" w:rsidRPr="008B1D23">
        <w:rPr>
          <w:i/>
        </w:rPr>
        <w:t>Disrupting Class</w:t>
      </w:r>
      <w:r w:rsidRPr="008B1D23">
        <w:t xml:space="preserve"> provide the framework for the course. This theme is explored using the basic tenet </w:t>
      </w:r>
      <w:r w:rsidR="0086542C" w:rsidRPr="008B1D23">
        <w:t xml:space="preserve">of </w:t>
      </w:r>
      <w:proofErr w:type="spellStart"/>
      <w:r w:rsidR="0086542C" w:rsidRPr="008B1D23">
        <w:t>connectivism</w:t>
      </w:r>
      <w:proofErr w:type="spellEnd"/>
      <w:r w:rsidR="0086542C" w:rsidRPr="008B1D23">
        <w:t xml:space="preserve"> and the learning theories of Lave and Wenger</w:t>
      </w:r>
      <w:r w:rsidRPr="008B1D23">
        <w:t xml:space="preserve">. </w:t>
      </w:r>
      <w:r w:rsidR="0086542C" w:rsidRPr="008B1D23">
        <w:t>The use of a personal learning network (PLN) will be explored in great detail</w:t>
      </w:r>
      <w:r w:rsidRPr="008B1D23">
        <w:t xml:space="preserve">. Assignments connected to </w:t>
      </w:r>
      <w:r w:rsidR="0086542C" w:rsidRPr="008B1D23">
        <w:t xml:space="preserve">the creation and maintenance of a PLN </w:t>
      </w:r>
      <w:proofErr w:type="gramStart"/>
      <w:r w:rsidRPr="008B1D23">
        <w:t>are</w:t>
      </w:r>
      <w:proofErr w:type="gramEnd"/>
      <w:r w:rsidRPr="008B1D23">
        <w:t xml:space="preserve"> aimed at linking theory to practice. Consequently, </w:t>
      </w:r>
      <w:r w:rsidRPr="008B1D23">
        <w:rPr>
          <w:i/>
        </w:rPr>
        <w:t xml:space="preserve">one of the requirements embedded in these assignments is the expectation that many of them will be completed through </w:t>
      </w:r>
      <w:r w:rsidR="0086542C" w:rsidRPr="008B1D23">
        <w:rPr>
          <w:i/>
        </w:rPr>
        <w:t>reflection on an educational blog</w:t>
      </w:r>
      <w:r w:rsidRPr="008B1D23">
        <w:t>.</w:t>
      </w:r>
    </w:p>
    <w:p w:rsidR="00E3208D" w:rsidRPr="008B1D23" w:rsidRDefault="008C5D07" w:rsidP="00E3208D">
      <w:pPr>
        <w:pStyle w:val="Heading2"/>
        <w:spacing w:after="120"/>
        <w:jc w:val="left"/>
        <w:rPr>
          <w:i/>
          <w:sz w:val="20"/>
          <w:szCs w:val="22"/>
        </w:rPr>
      </w:pPr>
      <w:r w:rsidRPr="008B1D23">
        <w:rPr>
          <w:i/>
          <w:sz w:val="20"/>
          <w:szCs w:val="22"/>
        </w:rPr>
        <w:t xml:space="preserve">Prerequisites </w:t>
      </w:r>
    </w:p>
    <w:p w:rsidR="00E3208D" w:rsidRPr="008B1D23" w:rsidRDefault="008C5D07" w:rsidP="00E3208D">
      <w:pPr>
        <w:spacing w:after="120"/>
      </w:pPr>
      <w:r w:rsidRPr="008B1D23">
        <w:t>Admission to the Single Subject Credential Program, appropriate sequence of single subject courses prior to this course, and (or) permission of instructor.</w:t>
      </w:r>
    </w:p>
    <w:p w:rsidR="00E3208D" w:rsidRPr="008B1D23" w:rsidRDefault="008C5D07" w:rsidP="00E3208D">
      <w:pPr>
        <w:spacing w:after="120"/>
        <w:jc w:val="center"/>
        <w:rPr>
          <w:b/>
          <w:szCs w:val="22"/>
        </w:rPr>
      </w:pPr>
      <w:r w:rsidRPr="008B1D23">
        <w:rPr>
          <w:b/>
          <w:szCs w:val="22"/>
        </w:rPr>
        <w:t>Student Learning Outcomes</w:t>
      </w:r>
    </w:p>
    <w:p w:rsidR="00E3208D" w:rsidRPr="008B1D23" w:rsidRDefault="008C5D07" w:rsidP="00E3208D">
      <w:pPr>
        <w:pStyle w:val="Heading2"/>
        <w:spacing w:after="120"/>
        <w:jc w:val="left"/>
        <w:rPr>
          <w:i/>
          <w:sz w:val="20"/>
          <w:szCs w:val="22"/>
        </w:rPr>
      </w:pPr>
      <w:r w:rsidRPr="008B1D23">
        <w:rPr>
          <w:i/>
          <w:sz w:val="20"/>
          <w:szCs w:val="22"/>
        </w:rPr>
        <w:t>Objectives</w:t>
      </w:r>
    </w:p>
    <w:p w:rsidR="00E3208D" w:rsidRPr="008B1D23" w:rsidRDefault="008C5D07" w:rsidP="00E3208D">
      <w:r w:rsidRPr="008B1D23">
        <w:t>Upon completion of this course, the teacher candidate will be able to demonstrate knowledge, understanding, appreciation, and practical skills for applying:</w:t>
      </w:r>
    </w:p>
    <w:p w:rsidR="00E3208D" w:rsidRPr="008B1D23" w:rsidRDefault="008C5D07" w:rsidP="00E3208D">
      <w:pPr>
        <w:tabs>
          <w:tab w:val="left" w:pos="720"/>
        </w:tabs>
        <w:ind w:left="720" w:hanging="360"/>
      </w:pPr>
      <w:r w:rsidRPr="008B1D23">
        <w:t>1.</w:t>
      </w:r>
      <w:r w:rsidRPr="008B1D23">
        <w:tab/>
        <w:t>Characteristics (dispositions) and practices (strategies) of the teacher in the reformed, 21</w:t>
      </w:r>
      <w:r w:rsidRPr="008B1D23">
        <w:rPr>
          <w:vertAlign w:val="superscript"/>
        </w:rPr>
        <w:t>st</w:t>
      </w:r>
      <w:r w:rsidRPr="008B1D23">
        <w:t xml:space="preserve"> Century high school;</w:t>
      </w:r>
    </w:p>
    <w:p w:rsidR="00E3208D" w:rsidRPr="008B1D23" w:rsidRDefault="008C5D07" w:rsidP="00E3208D">
      <w:pPr>
        <w:tabs>
          <w:tab w:val="left" w:pos="720"/>
        </w:tabs>
        <w:ind w:left="720" w:hanging="360"/>
      </w:pPr>
      <w:r w:rsidRPr="008B1D23">
        <w:t>2.</w:t>
      </w:r>
      <w:r w:rsidRPr="008B1D23">
        <w:tab/>
        <w:t>Community connections, such as relationships with parents, service learning, and school to career;</w:t>
      </w:r>
    </w:p>
    <w:p w:rsidR="00E3208D" w:rsidRPr="008B1D23" w:rsidRDefault="0086542C" w:rsidP="00E3208D">
      <w:pPr>
        <w:tabs>
          <w:tab w:val="left" w:pos="720"/>
        </w:tabs>
        <w:ind w:left="720" w:hanging="360"/>
      </w:pPr>
      <w:r w:rsidRPr="008B1D23">
        <w:t>3</w:t>
      </w:r>
      <w:r w:rsidR="008C5D07" w:rsidRPr="008B1D23">
        <w:t>.</w:t>
      </w:r>
      <w:r w:rsidR="008C5D07" w:rsidRPr="008B1D23">
        <w:tab/>
        <w:t>Research in teaching and learning, in particular action research;</w:t>
      </w:r>
    </w:p>
    <w:p w:rsidR="00E3208D" w:rsidRPr="008B1D23" w:rsidRDefault="0086542C" w:rsidP="00E3208D">
      <w:pPr>
        <w:tabs>
          <w:tab w:val="left" w:pos="720"/>
        </w:tabs>
        <w:ind w:left="720" w:hanging="360"/>
      </w:pPr>
      <w:r w:rsidRPr="008B1D23">
        <w:t>4</w:t>
      </w:r>
      <w:r w:rsidR="008C5D07" w:rsidRPr="008B1D23">
        <w:t>.</w:t>
      </w:r>
      <w:r w:rsidR="008C5D07" w:rsidRPr="008B1D23">
        <w:tab/>
        <w:t>Observation and reflection as an integral part of practice; and</w:t>
      </w:r>
    </w:p>
    <w:p w:rsidR="00E3208D" w:rsidRPr="008B1D23" w:rsidRDefault="0086542C" w:rsidP="00E3208D">
      <w:pPr>
        <w:tabs>
          <w:tab w:val="left" w:pos="720"/>
        </w:tabs>
        <w:spacing w:after="120"/>
        <w:ind w:left="720" w:hanging="360"/>
      </w:pPr>
      <w:r w:rsidRPr="008B1D23">
        <w:t>5</w:t>
      </w:r>
      <w:r w:rsidR="008C5D07" w:rsidRPr="008B1D23">
        <w:t>.</w:t>
      </w:r>
      <w:r w:rsidR="008C5D07" w:rsidRPr="008B1D23">
        <w:tab/>
        <w:t>Characteristics and practices of the reformed, 21</w:t>
      </w:r>
      <w:r w:rsidR="008C5D07" w:rsidRPr="008B1D23">
        <w:rPr>
          <w:vertAlign w:val="superscript"/>
        </w:rPr>
        <w:t>st</w:t>
      </w:r>
      <w:r w:rsidR="008C5D07" w:rsidRPr="008B1D23">
        <w:t xml:space="preserve"> Century high school.</w:t>
      </w:r>
    </w:p>
    <w:p w:rsidR="00E3208D" w:rsidRPr="008B1D23" w:rsidRDefault="008C5D07" w:rsidP="00E3208D">
      <w:pPr>
        <w:pStyle w:val="Heading2"/>
        <w:spacing w:after="120"/>
        <w:jc w:val="left"/>
        <w:rPr>
          <w:i/>
          <w:sz w:val="20"/>
          <w:szCs w:val="22"/>
        </w:rPr>
      </w:pPr>
      <w:r w:rsidRPr="008B1D23">
        <w:rPr>
          <w:i/>
          <w:sz w:val="20"/>
          <w:szCs w:val="22"/>
        </w:rPr>
        <w:t>Teacher Performance Expectation (TPE) Competencies</w:t>
      </w:r>
    </w:p>
    <w:p w:rsidR="00E3208D" w:rsidRPr="008B1D23" w:rsidRDefault="008C5D07" w:rsidP="0086542C">
      <w:pPr>
        <w:pStyle w:val="Heading2"/>
        <w:spacing w:after="120"/>
        <w:jc w:val="left"/>
        <w:rPr>
          <w:b w:val="0"/>
          <w:sz w:val="20"/>
          <w:szCs w:val="22"/>
        </w:rPr>
      </w:pPr>
      <w:r w:rsidRPr="008B1D23">
        <w:rPr>
          <w:b w:val="0"/>
          <w:sz w:val="20"/>
          <w:szCs w:val="22"/>
        </w:rPr>
        <w:t>The course objectives, assignments, and assessments have been aligned with the CTC standards for Single Subject Credential. This course is designed to help teachers seeking the California Single Subject Credential to develop the skills, knowledge, and attitudes necessary to assist schools and district in implementing effective programs for all students. The successful candidate will be able to merge theory and practice in order to realize a comprehensive and extensive educa</w:t>
      </w:r>
      <w:r w:rsidR="0086542C" w:rsidRPr="008B1D23">
        <w:rPr>
          <w:b w:val="0"/>
          <w:sz w:val="20"/>
          <w:szCs w:val="22"/>
        </w:rPr>
        <w:t xml:space="preserve">tional program for all students, as well as </w:t>
      </w:r>
      <w:r w:rsidRPr="008B1D23">
        <w:rPr>
          <w:b w:val="0"/>
          <w:sz w:val="20"/>
          <w:szCs w:val="22"/>
        </w:rPr>
        <w:t xml:space="preserve">demonstrate their understanding and ability to apply each of the TPE’s that merge theory to practice in order to realize a comprehensive and extensive educational program to </w:t>
      </w:r>
      <w:r w:rsidRPr="008B1D23">
        <w:rPr>
          <w:b w:val="0"/>
          <w:sz w:val="20"/>
          <w:szCs w:val="22"/>
        </w:rPr>
        <w:lastRenderedPageBreak/>
        <w:t>meet the needs of all students. Failure to meet a minimum competence in any of the TPE’s by the completion of the program will prevent the acquisition of the Single Subject Credential.</w:t>
      </w:r>
    </w:p>
    <w:p w:rsidR="00E3208D" w:rsidRPr="008B1D23" w:rsidRDefault="008C5D07" w:rsidP="00E3208D">
      <w:pPr>
        <w:rPr>
          <w:b/>
          <w:szCs w:val="22"/>
        </w:rPr>
      </w:pPr>
      <w:r w:rsidRPr="008B1D23">
        <w:t xml:space="preserve">The following TPEs are given </w:t>
      </w:r>
      <w:r w:rsidRPr="008B1D23">
        <w:rPr>
          <w:bCs/>
        </w:rPr>
        <w:t>primary emphases:</w:t>
      </w:r>
    </w:p>
    <w:tbl>
      <w:tblPr>
        <w:tblW w:w="0" w:type="auto"/>
        <w:tblInd w:w="360" w:type="dxa"/>
        <w:tblLook w:val="00BF"/>
      </w:tblPr>
      <w:tblGrid>
        <w:gridCol w:w="918"/>
        <w:gridCol w:w="8280"/>
      </w:tblGrid>
      <w:tr w:rsidR="00E3208D" w:rsidRPr="008B1D23">
        <w:tc>
          <w:tcPr>
            <w:tcW w:w="918" w:type="dxa"/>
          </w:tcPr>
          <w:p w:rsidR="00E3208D" w:rsidRPr="008B1D23" w:rsidRDefault="008C5D07">
            <w:r w:rsidRPr="008B1D23">
              <w:t>TPE 8</w:t>
            </w:r>
          </w:p>
        </w:tc>
        <w:tc>
          <w:tcPr>
            <w:tcW w:w="8280" w:type="dxa"/>
          </w:tcPr>
          <w:p w:rsidR="00E3208D" w:rsidRPr="008B1D23" w:rsidRDefault="008C5D07">
            <w:r w:rsidRPr="008B1D23">
              <w:t>Learning About Students</w:t>
            </w:r>
          </w:p>
        </w:tc>
      </w:tr>
      <w:tr w:rsidR="00E3208D" w:rsidRPr="008B1D23">
        <w:tc>
          <w:tcPr>
            <w:tcW w:w="918" w:type="dxa"/>
          </w:tcPr>
          <w:p w:rsidR="00E3208D" w:rsidRPr="008B1D23" w:rsidRDefault="008C5D07">
            <w:r w:rsidRPr="008B1D23">
              <w:t>TPE 11</w:t>
            </w:r>
          </w:p>
        </w:tc>
        <w:tc>
          <w:tcPr>
            <w:tcW w:w="8280" w:type="dxa"/>
          </w:tcPr>
          <w:p w:rsidR="00E3208D" w:rsidRPr="008B1D23" w:rsidRDefault="008C5D07" w:rsidP="00E3208D">
            <w:pPr>
              <w:spacing w:after="120"/>
            </w:pPr>
            <w:r w:rsidRPr="008B1D23">
              <w:t>Social Environment</w:t>
            </w:r>
          </w:p>
        </w:tc>
      </w:tr>
    </w:tbl>
    <w:p w:rsidR="00E3208D" w:rsidRPr="008B1D23" w:rsidRDefault="008C5D07" w:rsidP="00E3208D">
      <w:pPr>
        <w:spacing w:after="120"/>
        <w:rPr>
          <w:b/>
          <w:bCs/>
          <w:i/>
          <w:szCs w:val="22"/>
        </w:rPr>
      </w:pPr>
      <w:r w:rsidRPr="008B1D23">
        <w:rPr>
          <w:b/>
          <w:bCs/>
          <w:i/>
          <w:szCs w:val="22"/>
        </w:rPr>
        <w:t>California Teacher Performance Assessment (</w:t>
      </w:r>
      <w:proofErr w:type="spellStart"/>
      <w:r w:rsidRPr="008B1D23">
        <w:rPr>
          <w:b/>
          <w:bCs/>
          <w:i/>
          <w:szCs w:val="22"/>
        </w:rPr>
        <w:t>CalTPA</w:t>
      </w:r>
      <w:proofErr w:type="spellEnd"/>
      <w:r w:rsidRPr="008B1D23">
        <w:rPr>
          <w:b/>
          <w:bCs/>
          <w:i/>
          <w:szCs w:val="22"/>
        </w:rPr>
        <w:t>)</w:t>
      </w:r>
    </w:p>
    <w:p w:rsidR="00E3208D" w:rsidRPr="008B1D23" w:rsidRDefault="008C5D07" w:rsidP="00E3208D">
      <w:pPr>
        <w:spacing w:after="120"/>
        <w:rPr>
          <w:bCs/>
          <w:szCs w:val="22"/>
        </w:rPr>
      </w:pPr>
      <w:r w:rsidRPr="008B1D23">
        <w:rPr>
          <w:bCs/>
          <w:szCs w:val="22"/>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8B1D23">
        <w:rPr>
          <w:bCs/>
          <w:szCs w:val="22"/>
        </w:rPr>
        <w:t>CalTPA</w:t>
      </w:r>
      <w:proofErr w:type="spellEnd"/>
      <w:r w:rsidRPr="008B1D23">
        <w:rPr>
          <w:bCs/>
          <w:szCs w:val="22"/>
        </w:rPr>
        <w:t xml:space="preserve"> or the TPA for short.</w:t>
      </w:r>
    </w:p>
    <w:p w:rsidR="00E3208D" w:rsidRPr="008B1D23" w:rsidRDefault="008C5D07" w:rsidP="00E3208D">
      <w:pPr>
        <w:spacing w:after="120"/>
        <w:rPr>
          <w:bCs/>
          <w:szCs w:val="22"/>
        </w:rPr>
      </w:pPr>
      <w:r w:rsidRPr="008B1D23">
        <w:rPr>
          <w:bCs/>
          <w:szCs w:val="22"/>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w:t>
      </w:r>
    </w:p>
    <w:p w:rsidR="00E3208D" w:rsidRPr="008B1D23" w:rsidRDefault="008C5D07" w:rsidP="00E3208D">
      <w:pPr>
        <w:spacing w:after="120"/>
        <w:rPr>
          <w:bCs/>
          <w:szCs w:val="22"/>
        </w:rPr>
      </w:pPr>
      <w:r w:rsidRPr="008B1D23">
        <w:rPr>
          <w:bCs/>
          <w:szCs w:val="22"/>
        </w:rPr>
        <w:t xml:space="preserve">Additionally, </w:t>
      </w:r>
      <w:r w:rsidR="00972C50">
        <w:rPr>
          <w:bCs/>
          <w:szCs w:val="22"/>
        </w:rPr>
        <w:t>SoE</w:t>
      </w:r>
      <w:r w:rsidRPr="008B1D23">
        <w:rPr>
          <w:bCs/>
          <w:szCs w:val="22"/>
        </w:rPr>
        <w:t xml:space="preserve"> classes use common pedagogical language, lesson plans (lesson designs), and unit plans (unit designs) in order to support and ensure your success on the TPA and more importantly in your credential program.</w:t>
      </w:r>
    </w:p>
    <w:p w:rsidR="00E3208D" w:rsidRPr="008B1D23" w:rsidRDefault="008C5D07" w:rsidP="00E3208D">
      <w:pPr>
        <w:spacing w:after="120"/>
        <w:rPr>
          <w:bCs/>
          <w:szCs w:val="22"/>
        </w:rPr>
      </w:pPr>
      <w:r w:rsidRPr="008B1D23">
        <w:rPr>
          <w:bCs/>
          <w:szCs w:val="22"/>
        </w:rPr>
        <w:t xml:space="preserve">The </w:t>
      </w:r>
      <w:proofErr w:type="spellStart"/>
      <w:r w:rsidRPr="008B1D23">
        <w:rPr>
          <w:bCs/>
          <w:szCs w:val="22"/>
        </w:rPr>
        <w:t>CalTPA</w:t>
      </w:r>
      <w:proofErr w:type="spellEnd"/>
      <w:r w:rsidRPr="008B1D23">
        <w:rPr>
          <w:bCs/>
          <w:szCs w:val="22"/>
        </w:rPr>
        <w:t xml:space="preserve"> Candidate Handbook, TPA seminar schedule, and other TPA support materials can be found on the </w:t>
      </w:r>
      <w:r w:rsidR="00972C50">
        <w:rPr>
          <w:bCs/>
          <w:szCs w:val="22"/>
        </w:rPr>
        <w:t>SoE</w:t>
      </w:r>
      <w:r w:rsidRPr="008B1D23">
        <w:rPr>
          <w:bCs/>
          <w:szCs w:val="22"/>
        </w:rPr>
        <w:t xml:space="preserve"> w</w:t>
      </w:r>
      <w:r w:rsidR="00972C50">
        <w:rPr>
          <w:bCs/>
          <w:szCs w:val="22"/>
        </w:rPr>
        <w:t xml:space="preserve">ebsite: </w:t>
      </w:r>
      <w:hyperlink r:id="rId7" w:history="1">
        <w:r w:rsidR="00972C50" w:rsidRPr="00C6589E">
          <w:rPr>
            <w:rStyle w:val="Hyperlink"/>
            <w:bCs/>
            <w:szCs w:val="22"/>
          </w:rPr>
          <w:t>http://www.csusm.edu/education/CalTPA/ProgramMaterialsTPA.html</w:t>
        </w:r>
      </w:hyperlink>
      <w:r w:rsidR="00972C50">
        <w:rPr>
          <w:bCs/>
          <w:szCs w:val="22"/>
        </w:rPr>
        <w:t xml:space="preserve"> </w:t>
      </w:r>
    </w:p>
    <w:p w:rsidR="00E3208D" w:rsidRPr="008B1D23" w:rsidRDefault="008C5D07" w:rsidP="00E3208D">
      <w:pPr>
        <w:spacing w:after="120"/>
        <w:rPr>
          <w:b/>
          <w:i/>
          <w:szCs w:val="22"/>
        </w:rPr>
      </w:pPr>
      <w:r w:rsidRPr="008B1D23">
        <w:rPr>
          <w:b/>
          <w:bCs/>
          <w:i/>
          <w:szCs w:val="22"/>
        </w:rPr>
        <w:t>A</w:t>
      </w:r>
      <w:r w:rsidRPr="008B1D23">
        <w:rPr>
          <w:b/>
          <w:i/>
          <w:szCs w:val="22"/>
        </w:rPr>
        <w:t xml:space="preserve">uthorization to </w:t>
      </w:r>
      <w:r w:rsidRPr="008B1D23">
        <w:rPr>
          <w:b/>
          <w:bCs/>
          <w:i/>
          <w:szCs w:val="22"/>
        </w:rPr>
        <w:t>T</w:t>
      </w:r>
      <w:r w:rsidRPr="008B1D23">
        <w:rPr>
          <w:b/>
          <w:i/>
          <w:szCs w:val="22"/>
        </w:rPr>
        <w:t>each English Learners</w:t>
      </w:r>
    </w:p>
    <w:p w:rsidR="00E3208D" w:rsidRPr="008B1D23" w:rsidRDefault="008C5D07" w:rsidP="00E3208D">
      <w:pPr>
        <w:spacing w:after="120"/>
        <w:rPr>
          <w:i/>
          <w:szCs w:val="18"/>
        </w:rPr>
      </w:pPr>
      <w:r w:rsidRPr="008B1D23">
        <w:rPr>
          <w:szCs w:val="22"/>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r w:rsidRPr="008B1D23">
        <w:rPr>
          <w:i/>
          <w:szCs w:val="18"/>
        </w:rPr>
        <w:t>(Approved by CCTC in SB 2042 Program Standards, August 2002)</w:t>
      </w:r>
    </w:p>
    <w:p w:rsidR="00E3208D" w:rsidRPr="008B1D23" w:rsidRDefault="008C5D07" w:rsidP="00E3208D">
      <w:pPr>
        <w:pStyle w:val="Heading2"/>
        <w:spacing w:after="120"/>
        <w:rPr>
          <w:sz w:val="20"/>
          <w:szCs w:val="22"/>
        </w:rPr>
      </w:pPr>
      <w:r w:rsidRPr="008B1D23">
        <w:rPr>
          <w:sz w:val="20"/>
          <w:szCs w:val="22"/>
        </w:rPr>
        <w:t>Course Requirements</w:t>
      </w:r>
    </w:p>
    <w:p w:rsidR="00E02384" w:rsidRPr="008B1D23" w:rsidRDefault="00E02384" w:rsidP="00E02384">
      <w:pPr>
        <w:rPr>
          <w:szCs w:val="22"/>
        </w:rPr>
      </w:pPr>
      <w:r w:rsidRPr="008B1D23">
        <w:rPr>
          <w:szCs w:val="22"/>
          <w:highlight w:val="yellow"/>
        </w:rPr>
        <w:t>Required Reading:</w:t>
      </w:r>
      <w:r w:rsidRPr="008B1D23">
        <w:rPr>
          <w:szCs w:val="22"/>
        </w:rPr>
        <w:t xml:space="preserve"> (I recommend purchasing books from: </w:t>
      </w:r>
      <w:hyperlink r:id="rId8" w:history="1">
        <w:r w:rsidRPr="008B1D23">
          <w:rPr>
            <w:szCs w:val="22"/>
          </w:rPr>
          <w:t>http://www.abebooks.com/</w:t>
        </w:r>
      </w:hyperlink>
      <w:r w:rsidRPr="008B1D23">
        <w:rPr>
          <w:szCs w:val="22"/>
        </w:rPr>
        <w:t xml:space="preserve"> , </w:t>
      </w:r>
      <w:hyperlink r:id="rId9" w:history="1">
        <w:r w:rsidRPr="008B1D23">
          <w:rPr>
            <w:szCs w:val="22"/>
          </w:rPr>
          <w:t>http://www.amazon.com</w:t>
        </w:r>
      </w:hyperlink>
      <w:r w:rsidRPr="008B1D23">
        <w:rPr>
          <w:szCs w:val="22"/>
        </w:rPr>
        <w:t xml:space="preserve"> or </w:t>
      </w:r>
      <w:hyperlink r:id="rId10" w:history="1">
        <w:r w:rsidRPr="008B1D23">
          <w:rPr>
            <w:szCs w:val="22"/>
          </w:rPr>
          <w:t>http://www.half.ebay.com/</w:t>
        </w:r>
      </w:hyperlink>
      <w:r w:rsidRPr="008B1D23">
        <w:rPr>
          <w:szCs w:val="22"/>
        </w:rPr>
        <w:t xml:space="preserve"> )</w:t>
      </w:r>
    </w:p>
    <w:p w:rsidR="00E02384" w:rsidRPr="008B1D23" w:rsidRDefault="00E02384" w:rsidP="00E02384"/>
    <w:p w:rsidR="00E3208D" w:rsidRPr="008B1D23" w:rsidRDefault="0086542C" w:rsidP="00E3208D">
      <w:pPr>
        <w:spacing w:after="120"/>
        <w:ind w:left="360" w:hanging="360"/>
      </w:pPr>
      <w:r w:rsidRPr="008B1D23">
        <w:t>Christensen, C</w:t>
      </w:r>
      <w:r w:rsidR="008C5D07" w:rsidRPr="008B1D23">
        <w:t xml:space="preserve">, </w:t>
      </w:r>
      <w:r w:rsidR="00E02384" w:rsidRPr="008B1D23">
        <w:t>Horn, M. B., &amp; Horn, C. W</w:t>
      </w:r>
      <w:r w:rsidRPr="008B1D23">
        <w:t>. (2008</w:t>
      </w:r>
      <w:r w:rsidR="008C5D07" w:rsidRPr="008B1D23">
        <w:t xml:space="preserve">). </w:t>
      </w:r>
      <w:r w:rsidR="00E02384" w:rsidRPr="008B1D23">
        <w:rPr>
          <w:i/>
        </w:rPr>
        <w:t>Disrupting Class</w:t>
      </w:r>
      <w:r w:rsidR="008C5D07" w:rsidRPr="008B1D23">
        <w:rPr>
          <w:i/>
        </w:rPr>
        <w:t xml:space="preserve">: </w:t>
      </w:r>
      <w:r w:rsidR="00E02384" w:rsidRPr="008B1D23">
        <w:rPr>
          <w:i/>
        </w:rPr>
        <w:t>How disruptive innovation will change the way the world learns</w:t>
      </w:r>
      <w:r w:rsidR="008C5D07" w:rsidRPr="008B1D23">
        <w:t xml:space="preserve">. </w:t>
      </w:r>
      <w:r w:rsidR="00E02384" w:rsidRPr="008B1D23">
        <w:t>New York</w:t>
      </w:r>
      <w:r w:rsidR="008C5D07" w:rsidRPr="008B1D23">
        <w:t xml:space="preserve">: </w:t>
      </w:r>
      <w:r w:rsidR="00E02384" w:rsidRPr="008B1D23">
        <w:t>McGraw Hill</w:t>
      </w:r>
      <w:r w:rsidR="008C5D07" w:rsidRPr="008B1D23">
        <w:t xml:space="preserve">. </w:t>
      </w:r>
    </w:p>
    <w:p w:rsidR="00E02384" w:rsidRPr="008B1D23" w:rsidRDefault="00E02384" w:rsidP="00E02384">
      <w:pPr>
        <w:pStyle w:val="NormalWeb"/>
        <w:spacing w:before="0" w:beforeAutospacing="0" w:after="0" w:afterAutospacing="0"/>
        <w:ind w:left="720" w:hanging="720"/>
        <w:rPr>
          <w:sz w:val="20"/>
          <w:szCs w:val="20"/>
        </w:rPr>
      </w:pPr>
      <w:proofErr w:type="gramStart"/>
      <w:r w:rsidRPr="008B1D23">
        <w:rPr>
          <w:sz w:val="20"/>
          <w:szCs w:val="20"/>
        </w:rPr>
        <w:t>Pink, D. H., (2005).</w:t>
      </w:r>
      <w:proofErr w:type="gramEnd"/>
      <w:r w:rsidRPr="008B1D23">
        <w:rPr>
          <w:sz w:val="20"/>
          <w:szCs w:val="20"/>
        </w:rPr>
        <w:t xml:space="preserve"> </w:t>
      </w:r>
      <w:r w:rsidRPr="008B1D23">
        <w:rPr>
          <w:i/>
          <w:sz w:val="20"/>
          <w:szCs w:val="20"/>
        </w:rPr>
        <w:t>A Whole New Mind: Why right-brainers will rule the future.</w:t>
      </w:r>
      <w:r w:rsidRPr="008B1D23">
        <w:rPr>
          <w:sz w:val="20"/>
          <w:szCs w:val="20"/>
        </w:rPr>
        <w:t xml:space="preserve"> New York, NY:  Penguin.</w:t>
      </w:r>
    </w:p>
    <w:p w:rsidR="00E02384" w:rsidRPr="008B1D23" w:rsidRDefault="00E02384" w:rsidP="00E02384"/>
    <w:p w:rsidR="00E02384" w:rsidRPr="008B1D23" w:rsidRDefault="00E02384" w:rsidP="00E02384">
      <w:r w:rsidRPr="00CD5519">
        <w:rPr>
          <w:b/>
        </w:rPr>
        <w:t>Recommended Reading</w:t>
      </w:r>
      <w:r w:rsidRPr="008B1D23">
        <w:t>:</w:t>
      </w:r>
    </w:p>
    <w:p w:rsidR="00E02384" w:rsidRPr="008B1D23" w:rsidRDefault="00E02384" w:rsidP="00E02384">
      <w:r w:rsidRPr="008B1D23">
        <w:t>Lave, J., &amp; Wenger, E. (1991). </w:t>
      </w:r>
      <w:r w:rsidRPr="008B1D23">
        <w:rPr>
          <w:i/>
        </w:rPr>
        <w:t>Situated Learning: Legitimate peripheral participation</w:t>
      </w:r>
      <w:r w:rsidRPr="008B1D23">
        <w:t xml:space="preserve">. </w:t>
      </w:r>
      <w:proofErr w:type="gramStart"/>
      <w:r w:rsidRPr="008B1D23">
        <w:t>New  York</w:t>
      </w:r>
      <w:proofErr w:type="gramEnd"/>
      <w:r w:rsidRPr="008B1D23">
        <w:t>, NY: Cambridge University Press.</w:t>
      </w:r>
    </w:p>
    <w:p w:rsidR="00E02384" w:rsidRPr="008B1D23" w:rsidRDefault="00E02384" w:rsidP="00E02384">
      <w:pPr>
        <w:ind w:left="720" w:hanging="720"/>
      </w:pPr>
    </w:p>
    <w:p w:rsidR="00E3208D" w:rsidRPr="008B1D23" w:rsidRDefault="008C5D07" w:rsidP="00E3208D">
      <w:pPr>
        <w:spacing w:after="120"/>
        <w:ind w:left="360" w:hanging="360"/>
        <w:rPr>
          <w:szCs w:val="22"/>
        </w:rPr>
      </w:pPr>
      <w:r w:rsidRPr="008B1D23">
        <w:t>*Several other readings are required and will be available for download.</w:t>
      </w:r>
    </w:p>
    <w:p w:rsidR="00E3208D" w:rsidRPr="008B1D23" w:rsidRDefault="008C5D07" w:rsidP="00E3208D">
      <w:pPr>
        <w:spacing w:after="120"/>
        <w:rPr>
          <w:b/>
          <w:i/>
          <w:szCs w:val="22"/>
        </w:rPr>
      </w:pPr>
      <w:r w:rsidRPr="008B1D23">
        <w:rPr>
          <w:b/>
          <w:i/>
          <w:szCs w:val="22"/>
        </w:rPr>
        <w:t>Assignment Completion Expectations</w:t>
      </w:r>
    </w:p>
    <w:p w:rsidR="00E3208D" w:rsidRPr="008B1D23" w:rsidRDefault="008C5D07" w:rsidP="00E3208D">
      <w:pPr>
        <w:spacing w:after="120"/>
        <w:rPr>
          <w:i/>
          <w:szCs w:val="22"/>
        </w:rPr>
      </w:pPr>
      <w:r w:rsidRPr="008B1D23">
        <w:rPr>
          <w:i/>
          <w:szCs w:val="22"/>
        </w:rPr>
        <w:t xml:space="preserve">Graduate Level Professionalism: </w:t>
      </w:r>
      <w:r w:rsidRPr="008B1D23">
        <w:rPr>
          <w:szCs w:val="22"/>
        </w:rPr>
        <w:t>Expectations are that are assignments will be professionally done (i.e. typed and at the quality representative of graduate work)</w:t>
      </w:r>
    </w:p>
    <w:p w:rsidR="00E3208D" w:rsidRPr="008B1D23" w:rsidRDefault="008C5D07" w:rsidP="00E3208D">
      <w:pPr>
        <w:spacing w:after="120"/>
        <w:rPr>
          <w:i/>
          <w:szCs w:val="22"/>
        </w:rPr>
      </w:pPr>
      <w:r w:rsidRPr="008B1D23">
        <w:rPr>
          <w:i/>
          <w:szCs w:val="22"/>
        </w:rPr>
        <w:t xml:space="preserve">Referencing Sources: </w:t>
      </w:r>
      <w:r w:rsidRPr="008B1D23">
        <w:rPr>
          <w:szCs w:val="22"/>
        </w:rPr>
        <w:t>Citations should always be used when utilizing information from another source</w:t>
      </w:r>
      <w:r w:rsidRPr="008B1D23">
        <w:rPr>
          <w:i/>
          <w:szCs w:val="22"/>
        </w:rPr>
        <w:t>.</w:t>
      </w:r>
    </w:p>
    <w:p w:rsidR="00E3208D" w:rsidRPr="008B1D23" w:rsidRDefault="008C5D07" w:rsidP="00E3208D">
      <w:pPr>
        <w:pStyle w:val="Heading2"/>
        <w:spacing w:after="120"/>
        <w:jc w:val="left"/>
        <w:rPr>
          <w:i/>
          <w:sz w:val="20"/>
          <w:szCs w:val="22"/>
        </w:rPr>
      </w:pPr>
      <w:r w:rsidRPr="008B1D23">
        <w:rPr>
          <w:i/>
          <w:sz w:val="20"/>
          <w:szCs w:val="22"/>
          <w:highlight w:val="yellow"/>
        </w:rPr>
        <w:t>Assignment Overview</w:t>
      </w:r>
      <w:r w:rsidRPr="008B1D23">
        <w:rPr>
          <w:i/>
          <w:sz w:val="20"/>
          <w:szCs w:val="22"/>
        </w:rPr>
        <w:t xml:space="preserve"> </w:t>
      </w:r>
      <w:r w:rsidRPr="008B1D23">
        <w:rPr>
          <w:b w:val="0"/>
          <w:i/>
          <w:sz w:val="20"/>
          <w:szCs w:val="22"/>
        </w:rPr>
        <w:t>[total points – 100 pts.]</w:t>
      </w:r>
    </w:p>
    <w:p w:rsidR="00E02384" w:rsidRPr="008B1D23" w:rsidRDefault="00E02384" w:rsidP="00E02384">
      <w:pPr>
        <w:pStyle w:val="ListParagraph"/>
        <w:numPr>
          <w:ilvl w:val="0"/>
          <w:numId w:val="47"/>
        </w:numPr>
        <w:rPr>
          <w:sz w:val="20"/>
          <w:szCs w:val="20"/>
        </w:rPr>
      </w:pPr>
      <w:r w:rsidRPr="008B1D23">
        <w:rPr>
          <w:b/>
          <w:i/>
          <w:sz w:val="20"/>
          <w:szCs w:val="20"/>
        </w:rPr>
        <w:t>Class participation</w:t>
      </w:r>
      <w:r w:rsidRPr="008B1D23">
        <w:rPr>
          <w:sz w:val="20"/>
          <w:szCs w:val="20"/>
        </w:rPr>
        <w:t xml:space="preserve"> (30% of grade): Students are responsible for completing the assigned readings/activities before class (or during the week of a class session that was not F2F). Most class reading/activities will be assigned weekly on the class blog.  The individual student blog will be a space to reflect/complete any reading reflection or writing on an assigned activity. Additionally, students are expected to actively engage in critical dialogue in each class session</w:t>
      </w:r>
      <w:r w:rsidR="00CD5519">
        <w:rPr>
          <w:sz w:val="20"/>
          <w:szCs w:val="20"/>
        </w:rPr>
        <w:t xml:space="preserve"> and in an online environment</w:t>
      </w:r>
      <w:r w:rsidRPr="008B1D23">
        <w:rPr>
          <w:sz w:val="20"/>
          <w:szCs w:val="20"/>
        </w:rPr>
        <w:t>.</w:t>
      </w:r>
    </w:p>
    <w:p w:rsidR="00E02384" w:rsidRPr="008B1D23" w:rsidRDefault="00E02384" w:rsidP="00E02384"/>
    <w:p w:rsidR="00E02384" w:rsidRPr="008B1D23" w:rsidRDefault="00E02384" w:rsidP="00E02384">
      <w:pPr>
        <w:pStyle w:val="ListParagraph"/>
        <w:numPr>
          <w:ilvl w:val="0"/>
          <w:numId w:val="47"/>
        </w:numPr>
        <w:rPr>
          <w:sz w:val="20"/>
          <w:szCs w:val="20"/>
        </w:rPr>
      </w:pPr>
      <w:r w:rsidRPr="008B1D23">
        <w:rPr>
          <w:b/>
          <w:i/>
          <w:sz w:val="20"/>
          <w:szCs w:val="20"/>
        </w:rPr>
        <w:t>School/classroom visit</w:t>
      </w:r>
      <w:r w:rsidRPr="008B1D23">
        <w:rPr>
          <w:sz w:val="20"/>
          <w:szCs w:val="20"/>
        </w:rPr>
        <w:t xml:space="preserve"> (10% of grade): Students will visit a learning institution that integrates technology into the curriculum and write a blog post (250+ words) reflecting on the experience (due within one week of the visit) . . .</w:t>
      </w:r>
    </w:p>
    <w:p w:rsidR="00E02384" w:rsidRPr="008B1D23" w:rsidRDefault="00E02384" w:rsidP="00E02384">
      <w:pPr>
        <w:pStyle w:val="ListParagraph"/>
        <w:numPr>
          <w:ilvl w:val="1"/>
          <w:numId w:val="47"/>
        </w:numPr>
        <w:rPr>
          <w:sz w:val="20"/>
          <w:szCs w:val="20"/>
        </w:rPr>
      </w:pPr>
      <w:r w:rsidRPr="008B1D23">
        <w:rPr>
          <w:sz w:val="20"/>
          <w:szCs w:val="20"/>
        </w:rPr>
        <w:t>How was technology integrated into the curriculum?  Do you feel that it promoted student learning?</w:t>
      </w:r>
    </w:p>
    <w:p w:rsidR="00E02384" w:rsidRPr="008B1D23" w:rsidRDefault="00E02384" w:rsidP="00E02384">
      <w:pPr>
        <w:pStyle w:val="ListParagraph"/>
        <w:numPr>
          <w:ilvl w:val="1"/>
          <w:numId w:val="47"/>
        </w:numPr>
        <w:rPr>
          <w:sz w:val="20"/>
          <w:szCs w:val="20"/>
        </w:rPr>
      </w:pPr>
      <w:r w:rsidRPr="008B1D23">
        <w:rPr>
          <w:sz w:val="20"/>
          <w:szCs w:val="20"/>
        </w:rPr>
        <w:t>Is there anything you saw that makes this classroom/school unique?</w:t>
      </w:r>
    </w:p>
    <w:p w:rsidR="00E02384" w:rsidRPr="008B1D23" w:rsidRDefault="00E02384" w:rsidP="00E02384">
      <w:pPr>
        <w:pStyle w:val="ListParagraph"/>
        <w:numPr>
          <w:ilvl w:val="1"/>
          <w:numId w:val="47"/>
        </w:numPr>
        <w:rPr>
          <w:sz w:val="20"/>
          <w:szCs w:val="20"/>
        </w:rPr>
      </w:pPr>
      <w:r w:rsidRPr="008B1D23">
        <w:rPr>
          <w:sz w:val="20"/>
          <w:szCs w:val="20"/>
        </w:rPr>
        <w:t>What did you learn and how does it relate to the class questions?</w:t>
      </w:r>
    </w:p>
    <w:p w:rsidR="00E02384" w:rsidRPr="008B1D23" w:rsidRDefault="00E02384" w:rsidP="00E02384"/>
    <w:p w:rsidR="00E02384" w:rsidRPr="008B1D23" w:rsidRDefault="00E02384" w:rsidP="00E02384">
      <w:pPr>
        <w:pStyle w:val="ListParagraph"/>
        <w:numPr>
          <w:ilvl w:val="0"/>
          <w:numId w:val="47"/>
        </w:numPr>
        <w:rPr>
          <w:sz w:val="20"/>
          <w:szCs w:val="20"/>
        </w:rPr>
      </w:pPr>
      <w:r w:rsidRPr="008B1D23">
        <w:rPr>
          <w:b/>
          <w:i/>
          <w:sz w:val="20"/>
          <w:szCs w:val="20"/>
        </w:rPr>
        <w:t>Personal Learning Network (PLN)</w:t>
      </w:r>
      <w:r w:rsidRPr="008B1D23">
        <w:rPr>
          <w:i/>
          <w:sz w:val="20"/>
          <w:szCs w:val="20"/>
        </w:rPr>
        <w:t xml:space="preserve"> </w:t>
      </w:r>
      <w:r w:rsidRPr="008B1D23">
        <w:rPr>
          <w:sz w:val="20"/>
          <w:szCs w:val="20"/>
        </w:rPr>
        <w:t xml:space="preserve">(40% of grade): Each student will create a personal learning network, or PLN, to investigate an area of education that aligns with his/her passion.  Participation in the network will be continuous throughout the course. The following digital tools, and some other tools discussed/discovered by the class, will be the medium of the PLN: Twitter, </w:t>
      </w:r>
      <w:proofErr w:type="spellStart"/>
      <w:r w:rsidRPr="008B1D23">
        <w:rPr>
          <w:sz w:val="20"/>
          <w:szCs w:val="20"/>
        </w:rPr>
        <w:t>Diigo</w:t>
      </w:r>
      <w:proofErr w:type="spellEnd"/>
      <w:r w:rsidRPr="008B1D23">
        <w:rPr>
          <w:sz w:val="20"/>
          <w:szCs w:val="20"/>
        </w:rPr>
        <w:t xml:space="preserve">, personal blog, digital discussion forums, and possible a content </w:t>
      </w:r>
      <w:proofErr w:type="spellStart"/>
      <w:r w:rsidRPr="008B1D23">
        <w:rPr>
          <w:sz w:val="20"/>
          <w:szCs w:val="20"/>
        </w:rPr>
        <w:t>curation</w:t>
      </w:r>
      <w:proofErr w:type="spellEnd"/>
      <w:r w:rsidRPr="008B1D23">
        <w:rPr>
          <w:sz w:val="20"/>
          <w:szCs w:val="20"/>
        </w:rPr>
        <w:t xml:space="preserve"> site. Part if this process is to find your professional voice in a digital environment.  This will entail not only blogging and participating in weekly online educational chats, but commenting on other blogs/posts from educators around the globe. Consider a more personalized version of the thematic course questions:</w:t>
      </w:r>
    </w:p>
    <w:p w:rsidR="00E02384" w:rsidRPr="008B1D23" w:rsidRDefault="00E02384" w:rsidP="00E02384">
      <w:pPr>
        <w:pStyle w:val="ListParagraph"/>
        <w:numPr>
          <w:ilvl w:val="1"/>
          <w:numId w:val="47"/>
        </w:numPr>
        <w:rPr>
          <w:sz w:val="20"/>
          <w:szCs w:val="20"/>
        </w:rPr>
      </w:pPr>
      <w:r w:rsidRPr="008B1D23">
        <w:rPr>
          <w:sz w:val="20"/>
          <w:szCs w:val="20"/>
        </w:rPr>
        <w:t xml:space="preserve">What am I learning? How does </w:t>
      </w:r>
      <w:r w:rsidRPr="008B1D23">
        <w:rPr>
          <w:i/>
          <w:sz w:val="20"/>
          <w:szCs w:val="20"/>
        </w:rPr>
        <w:t>my</w:t>
      </w:r>
      <w:r w:rsidRPr="008B1D23">
        <w:rPr>
          <w:sz w:val="20"/>
          <w:szCs w:val="20"/>
        </w:rPr>
        <w:t xml:space="preserve"> learning occur?</w:t>
      </w:r>
    </w:p>
    <w:p w:rsidR="00E02384" w:rsidRPr="008B1D23" w:rsidRDefault="00E02384" w:rsidP="00E02384">
      <w:pPr>
        <w:pStyle w:val="ListParagraph"/>
        <w:numPr>
          <w:ilvl w:val="1"/>
          <w:numId w:val="47"/>
        </w:numPr>
        <w:rPr>
          <w:sz w:val="20"/>
          <w:szCs w:val="20"/>
        </w:rPr>
      </w:pPr>
      <w:r w:rsidRPr="008B1D23">
        <w:rPr>
          <w:sz w:val="20"/>
          <w:szCs w:val="20"/>
        </w:rPr>
        <w:t xml:space="preserve">In what ways does the personalization of </w:t>
      </w:r>
      <w:r w:rsidRPr="008B1D23">
        <w:rPr>
          <w:i/>
          <w:sz w:val="20"/>
          <w:szCs w:val="20"/>
        </w:rPr>
        <w:t>my</w:t>
      </w:r>
      <w:r w:rsidRPr="008B1D23">
        <w:rPr>
          <w:sz w:val="20"/>
          <w:szCs w:val="20"/>
        </w:rPr>
        <w:t xml:space="preserve"> virtual environment promote learning?</w:t>
      </w:r>
    </w:p>
    <w:p w:rsidR="00E02384" w:rsidRPr="008B1D23" w:rsidRDefault="00E02384" w:rsidP="00E02384">
      <w:pPr>
        <w:pStyle w:val="ListParagraph"/>
        <w:numPr>
          <w:ilvl w:val="1"/>
          <w:numId w:val="47"/>
        </w:numPr>
        <w:rPr>
          <w:sz w:val="20"/>
          <w:szCs w:val="20"/>
        </w:rPr>
      </w:pPr>
      <w:r w:rsidRPr="008B1D23">
        <w:rPr>
          <w:sz w:val="20"/>
          <w:szCs w:val="20"/>
        </w:rPr>
        <w:t xml:space="preserve">Where am I learning?  What is the process by which technology enhanced </w:t>
      </w:r>
      <w:r w:rsidRPr="008B1D23">
        <w:rPr>
          <w:i/>
          <w:sz w:val="20"/>
          <w:szCs w:val="20"/>
        </w:rPr>
        <w:t>my</w:t>
      </w:r>
      <w:r w:rsidRPr="008B1D23">
        <w:rPr>
          <w:sz w:val="20"/>
          <w:szCs w:val="20"/>
        </w:rPr>
        <w:t xml:space="preserve"> learning?</w:t>
      </w:r>
    </w:p>
    <w:p w:rsidR="00E02384" w:rsidRPr="008B1D23" w:rsidRDefault="00E02384" w:rsidP="00E02384"/>
    <w:p w:rsidR="00E02384" w:rsidRPr="008B1D23" w:rsidRDefault="00E02384" w:rsidP="00E02384">
      <w:pPr>
        <w:pStyle w:val="ListParagraph"/>
        <w:numPr>
          <w:ilvl w:val="0"/>
          <w:numId w:val="47"/>
        </w:numPr>
        <w:rPr>
          <w:sz w:val="20"/>
          <w:szCs w:val="20"/>
        </w:rPr>
      </w:pPr>
      <w:r w:rsidRPr="008B1D23">
        <w:rPr>
          <w:b/>
          <w:i/>
          <w:sz w:val="20"/>
          <w:szCs w:val="20"/>
        </w:rPr>
        <w:t>Digital Reflection Project</w:t>
      </w:r>
      <w:r w:rsidRPr="008B1D23">
        <w:rPr>
          <w:sz w:val="20"/>
          <w:szCs w:val="20"/>
        </w:rPr>
        <w:t xml:space="preserve"> (20% of grade): At the end of the semester you will produce a digital project reflecting </w:t>
      </w:r>
      <w:r w:rsidR="008B1D23" w:rsidRPr="008B1D23">
        <w:rPr>
          <w:sz w:val="20"/>
          <w:szCs w:val="20"/>
        </w:rPr>
        <w:t>your</w:t>
      </w:r>
      <w:r w:rsidRPr="008B1D23">
        <w:rPr>
          <w:sz w:val="20"/>
          <w:szCs w:val="20"/>
        </w:rPr>
        <w:t xml:space="preserve"> learning in the course and how you see yourself applying what you have learned.  It can be a website, a video, or another creative digital tool that uniquely represents a culmination of your learning experience.  The projects will be presented on the last day of class.  A scheduled conference with the instructor is required prior to determining the medium of the project.</w:t>
      </w:r>
    </w:p>
    <w:p w:rsidR="00E02384" w:rsidRPr="008B1D23" w:rsidRDefault="00E02384" w:rsidP="00E3208D">
      <w:pPr>
        <w:spacing w:after="120"/>
        <w:ind w:left="360"/>
      </w:pPr>
    </w:p>
    <w:p w:rsidR="00E3208D" w:rsidRPr="008B1D23" w:rsidRDefault="008C5D07" w:rsidP="00E3208D">
      <w:pPr>
        <w:pStyle w:val="Heading2"/>
        <w:spacing w:after="120"/>
        <w:jc w:val="left"/>
        <w:rPr>
          <w:i/>
          <w:sz w:val="20"/>
        </w:rPr>
      </w:pPr>
      <w:r w:rsidRPr="008B1D23">
        <w:rPr>
          <w:i/>
          <w:sz w:val="20"/>
        </w:rPr>
        <w:t>Grading Standards</w:t>
      </w:r>
    </w:p>
    <w:p w:rsidR="00E3208D" w:rsidRPr="008B1D23" w:rsidRDefault="008C5D07" w:rsidP="00E3208D">
      <w:pPr>
        <w:rPr>
          <w:rFonts w:eastAsiaTheme="minorHAnsi"/>
          <w:lang w:bidi="en-US"/>
        </w:rPr>
      </w:pPr>
      <w:r w:rsidRPr="008B1D23">
        <w:rPr>
          <w:rFonts w:eastAsiaTheme="minorHAnsi"/>
          <w:lang w:bidi="en-US"/>
        </w:rPr>
        <w:t>Grades will be based on the following grading scale:</w:t>
      </w:r>
    </w:p>
    <w:tbl>
      <w:tblPr>
        <w:tblW w:w="0" w:type="auto"/>
        <w:tblInd w:w="458" w:type="dxa"/>
        <w:tblLook w:val="00BF"/>
      </w:tblPr>
      <w:tblGrid>
        <w:gridCol w:w="361"/>
        <w:gridCol w:w="1016"/>
        <w:gridCol w:w="416"/>
        <w:gridCol w:w="316"/>
        <w:gridCol w:w="683"/>
      </w:tblGrid>
      <w:tr w:rsidR="00E3208D" w:rsidRPr="008B1D23">
        <w:tc>
          <w:tcPr>
            <w:tcW w:w="0" w:type="auto"/>
          </w:tcPr>
          <w:p w:rsidR="00E3208D" w:rsidRPr="008B1D23" w:rsidRDefault="008C5D07" w:rsidP="00E3208D">
            <w:pPr>
              <w:jc w:val="center"/>
              <w:rPr>
                <w:rFonts w:eastAsiaTheme="minorHAnsi"/>
                <w:lang w:bidi="en-US"/>
              </w:rPr>
            </w:pPr>
            <w:r w:rsidRPr="008B1D23">
              <w:rPr>
                <w:rFonts w:eastAsiaTheme="minorHAnsi"/>
                <w:lang w:bidi="en-US"/>
              </w:rPr>
              <w:t>A</w:t>
            </w:r>
          </w:p>
        </w:tc>
        <w:tc>
          <w:tcPr>
            <w:tcW w:w="0" w:type="auto"/>
          </w:tcPr>
          <w:p w:rsidR="00E3208D" w:rsidRPr="008B1D23" w:rsidRDefault="008C5D07" w:rsidP="00E3208D">
            <w:pPr>
              <w:jc w:val="center"/>
              <w:rPr>
                <w:rFonts w:eastAsiaTheme="minorHAnsi"/>
                <w:lang w:bidi="en-US"/>
              </w:rPr>
            </w:pPr>
            <w:r w:rsidRPr="008B1D23">
              <w:rPr>
                <w:rFonts w:eastAsiaTheme="minorHAnsi"/>
                <w:lang w:bidi="en-US"/>
              </w:rPr>
              <w:t>…………</w:t>
            </w:r>
          </w:p>
        </w:tc>
        <w:tc>
          <w:tcPr>
            <w:tcW w:w="0" w:type="auto"/>
          </w:tcPr>
          <w:p w:rsidR="00E3208D" w:rsidRPr="008B1D23" w:rsidRDefault="008C5D07" w:rsidP="00E3208D">
            <w:pPr>
              <w:jc w:val="center"/>
              <w:rPr>
                <w:rFonts w:eastAsiaTheme="minorHAnsi"/>
                <w:lang w:bidi="en-US"/>
              </w:rPr>
            </w:pPr>
            <w:r w:rsidRPr="008B1D23">
              <w:rPr>
                <w:rFonts w:eastAsiaTheme="minorHAnsi"/>
                <w:lang w:bidi="en-US"/>
              </w:rPr>
              <w:t>90</w:t>
            </w:r>
          </w:p>
        </w:tc>
        <w:tc>
          <w:tcPr>
            <w:tcW w:w="0" w:type="auto"/>
          </w:tcPr>
          <w:p w:rsidR="00E3208D" w:rsidRPr="008B1D23" w:rsidRDefault="008C5D07" w:rsidP="00E3208D">
            <w:pPr>
              <w:jc w:val="center"/>
              <w:rPr>
                <w:rFonts w:eastAsiaTheme="minorHAnsi"/>
                <w:lang w:bidi="en-US"/>
              </w:rPr>
            </w:pPr>
            <w:r w:rsidRPr="008B1D23">
              <w:rPr>
                <w:rFonts w:eastAsiaTheme="minorHAnsi"/>
                <w:lang w:bidi="en-US"/>
              </w:rPr>
              <w:t>–</w:t>
            </w:r>
          </w:p>
        </w:tc>
        <w:tc>
          <w:tcPr>
            <w:tcW w:w="0" w:type="auto"/>
          </w:tcPr>
          <w:p w:rsidR="00E3208D" w:rsidRPr="008B1D23" w:rsidRDefault="008C5D07" w:rsidP="00E3208D">
            <w:pPr>
              <w:jc w:val="center"/>
              <w:rPr>
                <w:rFonts w:eastAsiaTheme="minorHAnsi"/>
                <w:lang w:bidi="en-US"/>
              </w:rPr>
            </w:pPr>
            <w:r w:rsidRPr="008B1D23">
              <w:rPr>
                <w:rFonts w:eastAsiaTheme="minorHAnsi"/>
                <w:lang w:bidi="en-US"/>
              </w:rPr>
              <w:t>100%</w:t>
            </w:r>
          </w:p>
        </w:tc>
      </w:tr>
      <w:tr w:rsidR="00E3208D" w:rsidRPr="008B1D23">
        <w:tc>
          <w:tcPr>
            <w:tcW w:w="0" w:type="auto"/>
          </w:tcPr>
          <w:p w:rsidR="00E3208D" w:rsidRPr="008B1D23" w:rsidRDefault="008C5D07" w:rsidP="00E3208D">
            <w:pPr>
              <w:jc w:val="center"/>
              <w:rPr>
                <w:rFonts w:eastAsiaTheme="minorHAnsi"/>
                <w:lang w:bidi="en-US"/>
              </w:rPr>
            </w:pPr>
            <w:r w:rsidRPr="008B1D23">
              <w:rPr>
                <w:rFonts w:eastAsiaTheme="minorHAnsi"/>
                <w:lang w:bidi="en-US"/>
              </w:rPr>
              <w:t>B</w:t>
            </w:r>
          </w:p>
        </w:tc>
        <w:tc>
          <w:tcPr>
            <w:tcW w:w="0" w:type="auto"/>
          </w:tcPr>
          <w:p w:rsidR="00E3208D" w:rsidRPr="008B1D23" w:rsidRDefault="008C5D07" w:rsidP="00E3208D">
            <w:pPr>
              <w:jc w:val="center"/>
              <w:rPr>
                <w:rFonts w:eastAsiaTheme="minorHAnsi"/>
                <w:lang w:bidi="en-US"/>
              </w:rPr>
            </w:pPr>
            <w:r w:rsidRPr="008B1D23">
              <w:rPr>
                <w:rFonts w:eastAsiaTheme="minorHAnsi"/>
                <w:lang w:bidi="en-US"/>
              </w:rPr>
              <w:t>…………</w:t>
            </w:r>
          </w:p>
        </w:tc>
        <w:tc>
          <w:tcPr>
            <w:tcW w:w="0" w:type="auto"/>
          </w:tcPr>
          <w:p w:rsidR="00E3208D" w:rsidRPr="008B1D23" w:rsidRDefault="008C5D07" w:rsidP="00E3208D">
            <w:pPr>
              <w:jc w:val="center"/>
              <w:rPr>
                <w:rFonts w:eastAsiaTheme="minorHAnsi"/>
                <w:lang w:bidi="en-US"/>
              </w:rPr>
            </w:pPr>
            <w:r w:rsidRPr="008B1D23">
              <w:rPr>
                <w:rFonts w:eastAsiaTheme="minorHAnsi"/>
                <w:lang w:bidi="en-US"/>
              </w:rPr>
              <w:t>80</w:t>
            </w:r>
          </w:p>
        </w:tc>
        <w:tc>
          <w:tcPr>
            <w:tcW w:w="0" w:type="auto"/>
          </w:tcPr>
          <w:p w:rsidR="00E3208D" w:rsidRPr="008B1D23" w:rsidRDefault="008C5D07" w:rsidP="00E3208D">
            <w:pPr>
              <w:jc w:val="center"/>
              <w:rPr>
                <w:rFonts w:eastAsiaTheme="minorHAnsi"/>
                <w:lang w:bidi="en-US"/>
              </w:rPr>
            </w:pPr>
            <w:r w:rsidRPr="008B1D23">
              <w:rPr>
                <w:rFonts w:eastAsiaTheme="minorHAnsi"/>
                <w:lang w:bidi="en-US"/>
              </w:rPr>
              <w:t>–</w:t>
            </w:r>
          </w:p>
        </w:tc>
        <w:tc>
          <w:tcPr>
            <w:tcW w:w="0" w:type="auto"/>
          </w:tcPr>
          <w:p w:rsidR="00E3208D" w:rsidRPr="008B1D23" w:rsidRDefault="008C5D07" w:rsidP="00E3208D">
            <w:pPr>
              <w:jc w:val="center"/>
              <w:rPr>
                <w:rFonts w:eastAsiaTheme="minorHAnsi"/>
                <w:lang w:bidi="en-US"/>
              </w:rPr>
            </w:pPr>
            <w:r w:rsidRPr="008B1D23">
              <w:rPr>
                <w:rFonts w:eastAsiaTheme="minorHAnsi"/>
                <w:lang w:bidi="en-US"/>
              </w:rPr>
              <w:t>89%</w:t>
            </w:r>
          </w:p>
        </w:tc>
      </w:tr>
      <w:tr w:rsidR="00E3208D" w:rsidRPr="008B1D23">
        <w:tc>
          <w:tcPr>
            <w:tcW w:w="0" w:type="auto"/>
          </w:tcPr>
          <w:p w:rsidR="00E3208D" w:rsidRPr="008B1D23" w:rsidRDefault="008C5D07" w:rsidP="00E3208D">
            <w:pPr>
              <w:jc w:val="center"/>
              <w:rPr>
                <w:rFonts w:eastAsiaTheme="minorHAnsi"/>
                <w:lang w:bidi="en-US"/>
              </w:rPr>
            </w:pPr>
            <w:r w:rsidRPr="008B1D23">
              <w:rPr>
                <w:rFonts w:eastAsiaTheme="minorHAnsi"/>
                <w:lang w:bidi="en-US"/>
              </w:rPr>
              <w:t>C</w:t>
            </w:r>
          </w:p>
        </w:tc>
        <w:tc>
          <w:tcPr>
            <w:tcW w:w="0" w:type="auto"/>
          </w:tcPr>
          <w:p w:rsidR="00E3208D" w:rsidRPr="008B1D23" w:rsidRDefault="008C5D07" w:rsidP="00E3208D">
            <w:pPr>
              <w:jc w:val="center"/>
              <w:rPr>
                <w:rFonts w:eastAsiaTheme="minorHAnsi"/>
                <w:lang w:bidi="en-US"/>
              </w:rPr>
            </w:pPr>
            <w:r w:rsidRPr="008B1D23">
              <w:rPr>
                <w:rFonts w:eastAsiaTheme="minorHAnsi"/>
                <w:lang w:bidi="en-US"/>
              </w:rPr>
              <w:t>…………</w:t>
            </w:r>
          </w:p>
        </w:tc>
        <w:tc>
          <w:tcPr>
            <w:tcW w:w="0" w:type="auto"/>
          </w:tcPr>
          <w:p w:rsidR="00E3208D" w:rsidRPr="008B1D23" w:rsidRDefault="008C5D07" w:rsidP="00E3208D">
            <w:pPr>
              <w:jc w:val="center"/>
              <w:rPr>
                <w:rFonts w:eastAsiaTheme="minorHAnsi"/>
                <w:lang w:bidi="en-US"/>
              </w:rPr>
            </w:pPr>
            <w:r w:rsidRPr="008B1D23">
              <w:rPr>
                <w:rFonts w:eastAsiaTheme="minorHAnsi"/>
                <w:lang w:bidi="en-US"/>
              </w:rPr>
              <w:t>70</w:t>
            </w:r>
          </w:p>
        </w:tc>
        <w:tc>
          <w:tcPr>
            <w:tcW w:w="0" w:type="auto"/>
          </w:tcPr>
          <w:p w:rsidR="00E3208D" w:rsidRPr="008B1D23" w:rsidRDefault="008C5D07" w:rsidP="00E3208D">
            <w:pPr>
              <w:jc w:val="center"/>
              <w:rPr>
                <w:rFonts w:eastAsiaTheme="minorHAnsi"/>
                <w:lang w:bidi="en-US"/>
              </w:rPr>
            </w:pPr>
            <w:r w:rsidRPr="008B1D23">
              <w:rPr>
                <w:rFonts w:eastAsiaTheme="minorHAnsi"/>
                <w:lang w:bidi="en-US"/>
              </w:rPr>
              <w:t>–</w:t>
            </w:r>
          </w:p>
        </w:tc>
        <w:tc>
          <w:tcPr>
            <w:tcW w:w="0" w:type="auto"/>
          </w:tcPr>
          <w:p w:rsidR="00E3208D" w:rsidRPr="008B1D23" w:rsidRDefault="008C5D07" w:rsidP="00E3208D">
            <w:pPr>
              <w:jc w:val="center"/>
              <w:rPr>
                <w:rFonts w:eastAsiaTheme="minorHAnsi"/>
                <w:lang w:bidi="en-US"/>
              </w:rPr>
            </w:pPr>
            <w:r w:rsidRPr="008B1D23">
              <w:rPr>
                <w:rFonts w:eastAsiaTheme="minorHAnsi"/>
                <w:lang w:bidi="en-US"/>
              </w:rPr>
              <w:t>79%</w:t>
            </w:r>
          </w:p>
        </w:tc>
      </w:tr>
      <w:tr w:rsidR="00E3208D" w:rsidRPr="008B1D23">
        <w:tc>
          <w:tcPr>
            <w:tcW w:w="0" w:type="auto"/>
          </w:tcPr>
          <w:p w:rsidR="00E3208D" w:rsidRPr="008B1D23" w:rsidRDefault="008C5D07" w:rsidP="00E3208D">
            <w:pPr>
              <w:jc w:val="center"/>
              <w:rPr>
                <w:rFonts w:eastAsiaTheme="minorHAnsi"/>
                <w:lang w:bidi="en-US"/>
              </w:rPr>
            </w:pPr>
            <w:r w:rsidRPr="008B1D23">
              <w:rPr>
                <w:rFonts w:eastAsiaTheme="minorHAnsi"/>
                <w:lang w:bidi="en-US"/>
              </w:rPr>
              <w:t>D</w:t>
            </w:r>
          </w:p>
        </w:tc>
        <w:tc>
          <w:tcPr>
            <w:tcW w:w="0" w:type="auto"/>
          </w:tcPr>
          <w:p w:rsidR="00E3208D" w:rsidRPr="008B1D23" w:rsidRDefault="008C5D07" w:rsidP="00E3208D">
            <w:pPr>
              <w:jc w:val="center"/>
              <w:rPr>
                <w:rFonts w:eastAsiaTheme="minorHAnsi"/>
                <w:lang w:bidi="en-US"/>
              </w:rPr>
            </w:pPr>
            <w:r w:rsidRPr="008B1D23">
              <w:rPr>
                <w:rFonts w:eastAsiaTheme="minorHAnsi"/>
                <w:lang w:bidi="en-US"/>
              </w:rPr>
              <w:t>…………</w:t>
            </w:r>
          </w:p>
        </w:tc>
        <w:tc>
          <w:tcPr>
            <w:tcW w:w="0" w:type="auto"/>
          </w:tcPr>
          <w:p w:rsidR="00E3208D" w:rsidRPr="008B1D23" w:rsidRDefault="008C5D07" w:rsidP="00E3208D">
            <w:pPr>
              <w:jc w:val="center"/>
              <w:rPr>
                <w:rFonts w:eastAsiaTheme="minorHAnsi"/>
                <w:lang w:bidi="en-US"/>
              </w:rPr>
            </w:pPr>
            <w:r w:rsidRPr="008B1D23">
              <w:rPr>
                <w:rFonts w:eastAsiaTheme="minorHAnsi"/>
                <w:lang w:bidi="en-US"/>
              </w:rPr>
              <w:t>60</w:t>
            </w:r>
          </w:p>
        </w:tc>
        <w:tc>
          <w:tcPr>
            <w:tcW w:w="0" w:type="auto"/>
          </w:tcPr>
          <w:p w:rsidR="00E3208D" w:rsidRPr="008B1D23" w:rsidRDefault="008C5D07" w:rsidP="00E3208D">
            <w:pPr>
              <w:jc w:val="center"/>
              <w:rPr>
                <w:rFonts w:eastAsiaTheme="minorHAnsi"/>
                <w:lang w:bidi="en-US"/>
              </w:rPr>
            </w:pPr>
            <w:r w:rsidRPr="008B1D23">
              <w:rPr>
                <w:rFonts w:eastAsiaTheme="minorHAnsi"/>
                <w:lang w:bidi="en-US"/>
              </w:rPr>
              <w:t>–</w:t>
            </w:r>
          </w:p>
        </w:tc>
        <w:tc>
          <w:tcPr>
            <w:tcW w:w="0" w:type="auto"/>
          </w:tcPr>
          <w:p w:rsidR="00E3208D" w:rsidRPr="008B1D23" w:rsidRDefault="008C5D07" w:rsidP="00E3208D">
            <w:pPr>
              <w:jc w:val="center"/>
              <w:rPr>
                <w:rFonts w:eastAsiaTheme="minorHAnsi"/>
                <w:lang w:bidi="en-US"/>
              </w:rPr>
            </w:pPr>
            <w:r w:rsidRPr="008B1D23">
              <w:rPr>
                <w:rFonts w:eastAsiaTheme="minorHAnsi"/>
                <w:lang w:bidi="en-US"/>
              </w:rPr>
              <w:t>69%</w:t>
            </w:r>
          </w:p>
        </w:tc>
      </w:tr>
      <w:tr w:rsidR="00E3208D" w:rsidRPr="008B1D23">
        <w:tc>
          <w:tcPr>
            <w:tcW w:w="0" w:type="auto"/>
          </w:tcPr>
          <w:p w:rsidR="00E3208D" w:rsidRPr="008B1D23" w:rsidRDefault="008C5D07" w:rsidP="00E3208D">
            <w:pPr>
              <w:spacing w:after="120"/>
              <w:jc w:val="center"/>
              <w:rPr>
                <w:rFonts w:eastAsiaTheme="minorHAnsi"/>
                <w:lang w:bidi="en-US"/>
              </w:rPr>
            </w:pPr>
            <w:r w:rsidRPr="008B1D23">
              <w:rPr>
                <w:rFonts w:eastAsiaTheme="minorHAnsi"/>
                <w:lang w:bidi="en-US"/>
              </w:rPr>
              <w:t>F</w:t>
            </w:r>
          </w:p>
        </w:tc>
        <w:tc>
          <w:tcPr>
            <w:tcW w:w="0" w:type="auto"/>
          </w:tcPr>
          <w:p w:rsidR="00E3208D" w:rsidRPr="008B1D23" w:rsidRDefault="008C5D07" w:rsidP="00E3208D">
            <w:pPr>
              <w:spacing w:after="120"/>
              <w:jc w:val="center"/>
              <w:rPr>
                <w:rFonts w:eastAsiaTheme="minorHAnsi"/>
                <w:lang w:bidi="en-US"/>
              </w:rPr>
            </w:pPr>
            <w:r w:rsidRPr="008B1D23">
              <w:rPr>
                <w:rFonts w:eastAsiaTheme="minorHAnsi"/>
                <w:lang w:bidi="en-US"/>
              </w:rPr>
              <w:t>…………</w:t>
            </w:r>
          </w:p>
        </w:tc>
        <w:tc>
          <w:tcPr>
            <w:tcW w:w="0" w:type="auto"/>
            <w:gridSpan w:val="3"/>
          </w:tcPr>
          <w:p w:rsidR="00E3208D" w:rsidRPr="008B1D23" w:rsidRDefault="008C5D07" w:rsidP="00E3208D">
            <w:pPr>
              <w:spacing w:after="120"/>
              <w:jc w:val="center"/>
              <w:rPr>
                <w:rFonts w:eastAsiaTheme="minorHAnsi"/>
                <w:lang w:bidi="en-US"/>
              </w:rPr>
            </w:pPr>
            <w:r w:rsidRPr="008B1D23">
              <w:rPr>
                <w:rFonts w:eastAsiaTheme="minorHAnsi"/>
                <w:lang w:bidi="en-US"/>
              </w:rPr>
              <w:t>Below 60%</w:t>
            </w:r>
          </w:p>
        </w:tc>
      </w:tr>
    </w:tbl>
    <w:p w:rsidR="00E3208D" w:rsidRPr="008B1D23" w:rsidRDefault="008C5D07" w:rsidP="00E3208D">
      <w:pPr>
        <w:spacing w:after="120"/>
        <w:rPr>
          <w:rFonts w:eastAsiaTheme="minorHAnsi"/>
          <w:lang w:bidi="en-US"/>
        </w:rPr>
      </w:pPr>
      <w:r w:rsidRPr="008B1D23">
        <w:rPr>
          <w:rFonts w:eastAsiaTheme="minorHAnsi"/>
          <w:lang w:bidi="en-US"/>
        </w:rPr>
        <w:t>Late submission of any assignment will be worth up to 50% of its maximum value, unless prior arrangements have been agreed to with the instructor.</w:t>
      </w:r>
    </w:p>
    <w:p w:rsidR="00E3208D" w:rsidRPr="008B1D23" w:rsidRDefault="008C5D07" w:rsidP="00E3208D">
      <w:pPr>
        <w:spacing w:after="120"/>
        <w:rPr>
          <w:rFonts w:eastAsiaTheme="minorHAnsi"/>
          <w:lang w:bidi="en-US"/>
        </w:rPr>
      </w:pPr>
      <w:r w:rsidRPr="008B1D23">
        <w:rPr>
          <w:rFonts w:eastAsiaTheme="minorHAnsi"/>
          <w:lang w:bidi="en-US"/>
        </w:rPr>
        <w:t>Note: Students must maintain a B average in the credential program and obtain a grade of no lower than C+ in any individual course in order to receive credit for that course.</w:t>
      </w:r>
    </w:p>
    <w:p w:rsidR="00E3208D" w:rsidRPr="008B1D23" w:rsidRDefault="00972C50" w:rsidP="00E3208D">
      <w:pPr>
        <w:pStyle w:val="Heading1"/>
        <w:spacing w:after="120"/>
        <w:jc w:val="left"/>
        <w:rPr>
          <w:rFonts w:ascii="Times New Roman" w:hAnsi="Times New Roman"/>
          <w:i/>
          <w:sz w:val="20"/>
          <w:szCs w:val="22"/>
        </w:rPr>
      </w:pPr>
      <w:r>
        <w:rPr>
          <w:rFonts w:ascii="Times New Roman" w:hAnsi="Times New Roman"/>
          <w:i/>
          <w:sz w:val="20"/>
        </w:rPr>
        <w:t>School</w:t>
      </w:r>
      <w:r w:rsidR="008C5D07" w:rsidRPr="008B1D23">
        <w:rPr>
          <w:rFonts w:ascii="Times New Roman" w:hAnsi="Times New Roman"/>
          <w:i/>
          <w:sz w:val="20"/>
        </w:rPr>
        <w:t xml:space="preserve"> of Education Attendance</w:t>
      </w:r>
      <w:r w:rsidR="008C5D07" w:rsidRPr="008B1D23">
        <w:rPr>
          <w:rFonts w:ascii="Times New Roman" w:hAnsi="Times New Roman"/>
          <w:i/>
          <w:sz w:val="20"/>
          <w:szCs w:val="22"/>
        </w:rPr>
        <w:t xml:space="preserve"> Policy</w:t>
      </w:r>
    </w:p>
    <w:p w:rsidR="00E3208D" w:rsidRPr="008B1D23" w:rsidRDefault="008C5D07" w:rsidP="00E3208D">
      <w:pPr>
        <w:pStyle w:val="BodyText"/>
        <w:spacing w:after="120"/>
        <w:rPr>
          <w:b w:val="0"/>
          <w:szCs w:val="24"/>
        </w:rPr>
      </w:pPr>
      <w:r w:rsidRPr="008B1D23">
        <w:rPr>
          <w:b w:val="0"/>
          <w:szCs w:val="22"/>
        </w:rPr>
        <w:t xml:space="preserve">Due to the dynamic and interactive nature of courses in the </w:t>
      </w:r>
      <w:r w:rsidR="00972C50">
        <w:rPr>
          <w:b w:val="0"/>
          <w:szCs w:val="22"/>
        </w:rPr>
        <w:t>School</w:t>
      </w:r>
      <w:r w:rsidRPr="008B1D23">
        <w:rPr>
          <w:b w:val="0"/>
          <w:szCs w:val="22"/>
        </w:rPr>
        <w:t xml:space="preserve"> of Education, all students are expected to attend all classes and participate actively. At a minimum, students must attend more than 80% of class time, or s/he may not receive a passing grade for the course at the discretion of the instructor. </w:t>
      </w:r>
      <w:r w:rsidRPr="008B1D23">
        <w:rPr>
          <w:b w:val="0"/>
          <w:i/>
          <w:szCs w:val="22"/>
        </w:rPr>
        <w:t>Individual instructors may adopt more stringent attendance requirements</w:t>
      </w:r>
      <w:r w:rsidRPr="008B1D23">
        <w:rPr>
          <w:b w:val="0"/>
          <w:szCs w:val="22"/>
        </w:rPr>
        <w:t xml:space="preserve">. Should the student have extenuating circumstances, s/he should contact the instructor as soon as possible. </w:t>
      </w:r>
      <w:proofErr w:type="gramStart"/>
      <w:r w:rsidRPr="008B1D23">
        <w:rPr>
          <w:b w:val="0"/>
          <w:i/>
          <w:szCs w:val="18"/>
        </w:rPr>
        <w:t>(Adopted by the COE Governance Community, December, 1997).</w:t>
      </w:r>
      <w:proofErr w:type="gramEnd"/>
      <w:r w:rsidRPr="008B1D23">
        <w:rPr>
          <w:b w:val="0"/>
          <w:szCs w:val="24"/>
        </w:rPr>
        <w:t xml:space="preserve"> </w:t>
      </w:r>
    </w:p>
    <w:p w:rsidR="00E3208D" w:rsidRPr="008B1D23" w:rsidRDefault="008C5D07" w:rsidP="00E3208D">
      <w:pPr>
        <w:spacing w:after="120"/>
      </w:pPr>
      <w:r w:rsidRPr="008B1D23">
        <w:rPr>
          <w:i/>
          <w:highlight w:val="yellow"/>
        </w:rPr>
        <w:t>Course-Specific Attendance and Participation Policy</w:t>
      </w:r>
      <w:r w:rsidRPr="008B1D23">
        <w:rPr>
          <w:i/>
        </w:rPr>
        <w:t xml:space="preserve">: </w:t>
      </w:r>
      <w:r w:rsidRPr="008B1D23">
        <w:t xml:space="preserve">This course approaches content in a variety of ways. Structured interactions, group processes, oral presentations, guided discussion of readings, and self-disclosure exercises are the norm. Students are expected to have read assigned materials by the date indicated in the syllabus, and should be prepared to discuss readings individually or in variously structured groups. The degree of your engagement in these processes forms the basis for points assigned. Due to the fast paced and highly interactive nature of the course, regular attendance and full participation are expected: teaching and learning is difficult (if not impossible) if one is not present for and engaged in the process. Therefore, the above </w:t>
      </w:r>
      <w:r w:rsidR="00972C50">
        <w:t>SoE</w:t>
      </w:r>
      <w:r w:rsidRPr="008B1D23">
        <w:t xml:space="preserve"> Attendance Policy is amplified as follows:</w:t>
      </w:r>
    </w:p>
    <w:p w:rsidR="00E3208D" w:rsidRPr="008B1D23" w:rsidRDefault="008C5D07" w:rsidP="00E3208D">
      <w:pPr>
        <w:numPr>
          <w:ilvl w:val="0"/>
          <w:numId w:val="25"/>
        </w:numPr>
      </w:pPr>
      <w:r w:rsidRPr="008B1D23">
        <w:t>Missing more than one class meeting will result in the reduction of one letter grade.</w:t>
      </w:r>
    </w:p>
    <w:p w:rsidR="00E3208D" w:rsidRPr="008B1D23" w:rsidRDefault="008C5D07" w:rsidP="00E3208D">
      <w:pPr>
        <w:numPr>
          <w:ilvl w:val="0"/>
          <w:numId w:val="25"/>
        </w:numPr>
        <w:spacing w:after="120"/>
      </w:pPr>
      <w:r w:rsidRPr="008B1D23">
        <w:t>Arriving late or leaving early on more than two occasions will result in the reduction of one letter grade.</w:t>
      </w:r>
    </w:p>
    <w:p w:rsidR="00E3208D" w:rsidRPr="008B1D23" w:rsidRDefault="008C5D07" w:rsidP="00E3208D">
      <w:pPr>
        <w:spacing w:after="120"/>
      </w:pPr>
      <w:r w:rsidRPr="008B1D23">
        <w:t xml:space="preserve">Inform the instructor </w:t>
      </w:r>
      <w:r w:rsidRPr="008B1D23">
        <w:rPr>
          <w:i/>
        </w:rPr>
        <w:t>prior</w:t>
      </w:r>
      <w:r w:rsidRPr="008B1D23">
        <w:t xml:space="preserve"> to an absence. </w:t>
      </w:r>
    </w:p>
    <w:p w:rsidR="00E3208D" w:rsidRPr="008B1D23" w:rsidRDefault="008C5D07" w:rsidP="00E3208D">
      <w:pPr>
        <w:spacing w:after="120"/>
        <w:rPr>
          <w:b/>
          <w:bCs/>
          <w:i/>
        </w:rPr>
      </w:pPr>
      <w:r w:rsidRPr="008B1D23">
        <w:rPr>
          <w:b/>
          <w:bCs/>
          <w:i/>
        </w:rPr>
        <w:t>All-University Writing Requirement</w:t>
      </w:r>
    </w:p>
    <w:p w:rsidR="00E3208D" w:rsidRPr="008B1D23" w:rsidRDefault="008C5D07" w:rsidP="00E3208D">
      <w:pPr>
        <w:spacing w:after="120"/>
      </w:pPr>
      <w:r w:rsidRPr="008B1D23">
        <w:t xml:space="preserve">All CSU students must demonstrate competency in writing skills as a requirement for graduation. At California State University San Marcos, students complete the graduation writing assessment through the All-University Writing Requirement. This requirement mandates that every course at the University must have a writing component of at least 2,500 words (approximately 10 pages). </w:t>
      </w:r>
      <w:r w:rsidRPr="008B1D23">
        <w:rPr>
          <w:bCs/>
        </w:rPr>
        <w:t>This course will require a number of formal and informal written assignments, to model both formative and summative options for assessment. These include quick-writes, reading logs, as well as individual and group reports. The sum of these writing activities will more than satisfy the minimum university requirement.</w:t>
      </w:r>
    </w:p>
    <w:p w:rsidR="00E3208D" w:rsidRPr="008B1D23" w:rsidRDefault="008C5D07" w:rsidP="00E3208D">
      <w:pPr>
        <w:spacing w:after="120"/>
        <w:rPr>
          <w:b/>
          <w:i/>
          <w:szCs w:val="22"/>
        </w:rPr>
      </w:pPr>
      <w:r w:rsidRPr="008B1D23">
        <w:rPr>
          <w:b/>
          <w:i/>
          <w:szCs w:val="22"/>
        </w:rPr>
        <w:t>Students with Disabilities Requiring Reasonable Accommodations</w:t>
      </w:r>
    </w:p>
    <w:p w:rsidR="00E3208D" w:rsidRPr="008B1D23" w:rsidRDefault="008C5D07" w:rsidP="00E3208D">
      <w:pPr>
        <w:autoSpaceDE w:val="0"/>
        <w:autoSpaceDN w:val="0"/>
        <w:adjustRightInd w:val="0"/>
        <w:spacing w:after="120"/>
        <w:rPr>
          <w:szCs w:val="22"/>
        </w:rPr>
      </w:pPr>
      <w:r w:rsidRPr="008B1D23">
        <w:rPr>
          <w:szCs w:val="22"/>
        </w:rPr>
        <w:t xml:space="preserve">Students with disabilities who require reasonable accommodations must be approved for services by providing appropriate and recent documentation to the Office of Disable Student Services (DSS). This office is located in Craven </w:t>
      </w:r>
      <w:r w:rsidR="00972C50">
        <w:rPr>
          <w:szCs w:val="22"/>
        </w:rPr>
        <w:t>Hall 4300</w:t>
      </w:r>
      <w:r w:rsidRPr="008B1D23">
        <w:rPr>
          <w:szCs w:val="22"/>
        </w:rPr>
        <w:t>, and can be contacted by phone at (760) 750-4905, or TTY (760) 750-4909. Students authorized by DSS to receive reasonable accommodations should meet with their instructor during office hours or, in order to ensure confidentiality, in a more private setting.</w:t>
      </w:r>
    </w:p>
    <w:p w:rsidR="00E3208D" w:rsidRPr="008B1D23" w:rsidRDefault="008C5D07" w:rsidP="00E3208D">
      <w:pPr>
        <w:spacing w:after="120"/>
        <w:rPr>
          <w:b/>
          <w:bCs/>
          <w:i/>
          <w:szCs w:val="22"/>
        </w:rPr>
      </w:pPr>
      <w:r w:rsidRPr="008B1D23">
        <w:rPr>
          <w:b/>
          <w:bCs/>
          <w:i/>
          <w:szCs w:val="22"/>
        </w:rPr>
        <w:t>CSUSM Academic Honesty Policy</w:t>
      </w:r>
    </w:p>
    <w:p w:rsidR="00E3208D" w:rsidRPr="008B1D23" w:rsidRDefault="008C5D07" w:rsidP="00E3208D">
      <w:pPr>
        <w:spacing w:after="120"/>
        <w:rPr>
          <w:bCs/>
          <w:szCs w:val="22"/>
        </w:rPr>
      </w:pPr>
      <w:r w:rsidRPr="008B1D23">
        <w:rPr>
          <w:bCs/>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E3208D" w:rsidRPr="008B1D23" w:rsidRDefault="008C5D07" w:rsidP="00E3208D">
      <w:pPr>
        <w:spacing w:after="120"/>
        <w:rPr>
          <w:bCs/>
          <w:szCs w:val="22"/>
        </w:rPr>
      </w:pPr>
      <w:r w:rsidRPr="008B1D23">
        <w:rPr>
          <w:bCs/>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E3208D" w:rsidRPr="008B1D23" w:rsidRDefault="008C5D07" w:rsidP="00E3208D">
      <w:pPr>
        <w:spacing w:after="120"/>
        <w:rPr>
          <w:bCs/>
          <w:szCs w:val="22"/>
        </w:rPr>
      </w:pPr>
      <w:r w:rsidRPr="008B1D23">
        <w:rPr>
          <w:bCs/>
          <w:szCs w:val="22"/>
        </w:rPr>
        <w:t>Incidents of Academic Dishonesty will be reported to the Dean of Students. Sanctions at the University level may include suspension or expulsion from the University.</w:t>
      </w:r>
    </w:p>
    <w:p w:rsidR="00E3208D" w:rsidRPr="008B1D23" w:rsidRDefault="008C5D07" w:rsidP="00E3208D">
      <w:pPr>
        <w:spacing w:after="120"/>
        <w:rPr>
          <w:bCs/>
          <w:szCs w:val="22"/>
        </w:rPr>
      </w:pPr>
      <w:r w:rsidRPr="008B1D23">
        <w:rPr>
          <w:bCs/>
          <w:i/>
          <w:szCs w:val="22"/>
        </w:rPr>
        <w:t xml:space="preserve">Plagiarism: </w:t>
      </w:r>
      <w:r w:rsidRPr="008B1D23">
        <w:rPr>
          <w:bCs/>
          <w:szCs w:val="22"/>
        </w:rPr>
        <w:t xml:space="preserve">As an educator, it is expected </w:t>
      </w:r>
      <w:r w:rsidRPr="008B1D23">
        <w:rPr>
          <w:szCs w:val="22"/>
        </w:rPr>
        <w:t>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http://library.csusm.edu/plagiarism/index.html. If there are questions about academic honesty, please consult the University catalog.</w:t>
      </w:r>
    </w:p>
    <w:p w:rsidR="00E3208D" w:rsidRPr="008B1D23" w:rsidRDefault="008C5D07" w:rsidP="00E3208D">
      <w:pPr>
        <w:pStyle w:val="Heading3"/>
        <w:spacing w:after="120"/>
        <w:rPr>
          <w:rFonts w:ascii="Times New Roman" w:hAnsi="Times New Roman"/>
          <w:b w:val="0"/>
          <w:i/>
          <w:szCs w:val="22"/>
        </w:rPr>
      </w:pPr>
      <w:r w:rsidRPr="008B1D23">
        <w:rPr>
          <w:rFonts w:ascii="Times New Roman" w:hAnsi="Times New Roman"/>
          <w:i/>
          <w:szCs w:val="22"/>
        </w:rPr>
        <w:t>Use of Technology</w:t>
      </w:r>
    </w:p>
    <w:p w:rsidR="00FD6F40" w:rsidRPr="008B1D23" w:rsidRDefault="008C5D07" w:rsidP="00E3208D">
      <w:pPr>
        <w:pStyle w:val="Heading3"/>
        <w:spacing w:after="120"/>
        <w:rPr>
          <w:rFonts w:ascii="Times New Roman" w:hAnsi="Times New Roman"/>
          <w:b w:val="0"/>
          <w:szCs w:val="22"/>
        </w:rPr>
      </w:pPr>
      <w:r w:rsidRPr="008B1D23">
        <w:rPr>
          <w:rFonts w:ascii="Times New Roman" w:hAnsi="Times New Roman"/>
          <w:b w:val="0"/>
          <w:szCs w:val="22"/>
        </w:rPr>
        <w:t xml:space="preserve">Students are expected to demonstrate competency in the use of various forms of technology (i.e. word processing, electronic mail, </w:t>
      </w:r>
      <w:r w:rsidR="00972C50">
        <w:rPr>
          <w:rFonts w:ascii="Times New Roman" w:hAnsi="Times New Roman"/>
          <w:b w:val="0"/>
          <w:szCs w:val="22"/>
        </w:rPr>
        <w:t>Moodle (Cougar Courses)</w:t>
      </w:r>
      <w:r w:rsidRPr="008B1D23">
        <w:rPr>
          <w:rFonts w:ascii="Times New Roman" w:hAnsi="Times New Roman"/>
          <w:b w:val="0"/>
          <w:szCs w:val="22"/>
        </w:rPr>
        <w:t>, use of the Internet and Web 2.0 tools, and/or multimedia presentations). Specific requirements for course assignments with regard to technology are at the discretion of the instructor. Keep a digital copy of all assignments for use in your teaching portfolio. All assignments will be submitted online, and some will be submitted in hard copy as well. Details will be given in class.</w:t>
      </w:r>
    </w:p>
    <w:p w:rsidR="00FD6F40" w:rsidRPr="008B1D23" w:rsidRDefault="00FD6F40" w:rsidP="00FD6F40"/>
    <w:p w:rsidR="00FD6F40" w:rsidRPr="008B1D23" w:rsidRDefault="00FD6F40" w:rsidP="00FD6F40"/>
    <w:p w:rsidR="00E3208D" w:rsidRPr="008B1D23" w:rsidRDefault="00E3208D" w:rsidP="00FD6F40"/>
    <w:p w:rsidR="00E3208D" w:rsidRPr="008B1D23" w:rsidRDefault="008C5D07" w:rsidP="00E3208D">
      <w:pPr>
        <w:spacing w:after="120"/>
        <w:jc w:val="both"/>
        <w:rPr>
          <w:b/>
          <w:i/>
          <w:szCs w:val="22"/>
        </w:rPr>
      </w:pPr>
      <w:r w:rsidRPr="008B1D23">
        <w:rPr>
          <w:b/>
          <w:i/>
          <w:szCs w:val="22"/>
        </w:rPr>
        <w:t>Electronic Communication Protocol</w:t>
      </w:r>
    </w:p>
    <w:p w:rsidR="00E3208D" w:rsidRPr="008B1D23" w:rsidRDefault="008C5D07" w:rsidP="00E3208D">
      <w:pPr>
        <w:spacing w:after="120"/>
        <w:rPr>
          <w:szCs w:val="22"/>
        </w:rPr>
      </w:pPr>
      <w:r w:rsidRPr="008B1D23">
        <w:rPr>
          <w:szCs w:val="22"/>
        </w:rPr>
        <w:t>Electronic correspondence is a part of your professional interactions. If you need to contact the instructor, e-mail is often the easiest way to do so. It is my intention to respond to all received e-mails in a timely manner.</w:t>
      </w:r>
    </w:p>
    <w:p w:rsidR="00E3208D" w:rsidRPr="008B1D23" w:rsidRDefault="008C5D07" w:rsidP="00E3208D">
      <w:pPr>
        <w:spacing w:after="120"/>
        <w:rPr>
          <w:szCs w:val="22"/>
        </w:rPr>
      </w:pPr>
      <w:r w:rsidRPr="008B1D23">
        <w:rPr>
          <w:szCs w:val="22"/>
        </w:rPr>
        <w:t xml:space="preserve">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w:t>
      </w:r>
      <w:r w:rsidR="00972C50">
        <w:rPr>
          <w:szCs w:val="22"/>
        </w:rPr>
        <w:t>School</w:t>
      </w:r>
      <w:r w:rsidRPr="008B1D23">
        <w:rPr>
          <w:szCs w:val="22"/>
        </w:rPr>
        <w:t xml:space="preserve"> of Education, or to persons within the greater educational community. All electronic messages should be crafted with professionalism and care.</w:t>
      </w:r>
    </w:p>
    <w:p w:rsidR="00E3208D" w:rsidRPr="008B1D23" w:rsidRDefault="008C5D07" w:rsidP="00E3208D">
      <w:pPr>
        <w:rPr>
          <w:szCs w:val="22"/>
        </w:rPr>
      </w:pPr>
      <w:r w:rsidRPr="008B1D23">
        <w:rPr>
          <w:szCs w:val="22"/>
        </w:rPr>
        <w:t>Things to consider:</w:t>
      </w:r>
    </w:p>
    <w:p w:rsidR="00E3208D" w:rsidRPr="008B1D23" w:rsidRDefault="008C5D07" w:rsidP="00E3208D">
      <w:pPr>
        <w:numPr>
          <w:ilvl w:val="0"/>
          <w:numId w:val="14"/>
        </w:numPr>
        <w:rPr>
          <w:szCs w:val="22"/>
        </w:rPr>
      </w:pPr>
      <w:r w:rsidRPr="008B1D23">
        <w:rPr>
          <w:szCs w:val="22"/>
        </w:rPr>
        <w:t>Would I say in person what this electronic message specifically says?</w:t>
      </w:r>
    </w:p>
    <w:p w:rsidR="00E3208D" w:rsidRPr="008B1D23" w:rsidRDefault="008C5D07" w:rsidP="00E3208D">
      <w:pPr>
        <w:numPr>
          <w:ilvl w:val="0"/>
          <w:numId w:val="14"/>
        </w:numPr>
        <w:rPr>
          <w:szCs w:val="22"/>
        </w:rPr>
      </w:pPr>
      <w:r w:rsidRPr="008B1D23">
        <w:rPr>
          <w:szCs w:val="22"/>
        </w:rPr>
        <w:t>How could this message be misconstrued?</w:t>
      </w:r>
    </w:p>
    <w:p w:rsidR="00E3208D" w:rsidRPr="008B1D23" w:rsidRDefault="008C5D07" w:rsidP="00E3208D">
      <w:pPr>
        <w:numPr>
          <w:ilvl w:val="0"/>
          <w:numId w:val="14"/>
        </w:numPr>
        <w:rPr>
          <w:szCs w:val="22"/>
        </w:rPr>
      </w:pPr>
      <w:r w:rsidRPr="008B1D23">
        <w:rPr>
          <w:szCs w:val="22"/>
        </w:rPr>
        <w:t>Does this message represent my most professional and courteous self?</w:t>
      </w:r>
    </w:p>
    <w:p w:rsidR="00E3208D" w:rsidRPr="008B1D23" w:rsidRDefault="008C5D07" w:rsidP="00E3208D">
      <w:pPr>
        <w:numPr>
          <w:ilvl w:val="0"/>
          <w:numId w:val="14"/>
        </w:numPr>
        <w:rPr>
          <w:szCs w:val="22"/>
        </w:rPr>
      </w:pPr>
      <w:r w:rsidRPr="008B1D23">
        <w:rPr>
          <w:szCs w:val="22"/>
        </w:rPr>
        <w:t>Am I sending this electronic message to avoid a face-to-face conversation?</w:t>
      </w:r>
    </w:p>
    <w:p w:rsidR="00E3208D" w:rsidRPr="008B1D23" w:rsidRDefault="008C5D07" w:rsidP="00E3208D">
      <w:pPr>
        <w:numPr>
          <w:ilvl w:val="0"/>
          <w:numId w:val="14"/>
        </w:numPr>
        <w:spacing w:after="120"/>
        <w:rPr>
          <w:szCs w:val="22"/>
        </w:rPr>
      </w:pPr>
      <w:r w:rsidRPr="008B1D23">
        <w:rPr>
          <w:szCs w:val="22"/>
        </w:rPr>
        <w:t>Can this message be more concisely and/or precisely stated?</w:t>
      </w:r>
    </w:p>
    <w:p w:rsidR="00E3208D" w:rsidRPr="008B1D23" w:rsidRDefault="008C5D07" w:rsidP="00E3208D">
      <w:pPr>
        <w:spacing w:after="120"/>
        <w:rPr>
          <w:szCs w:val="22"/>
        </w:rPr>
      </w:pPr>
      <w:r w:rsidRPr="008B1D23">
        <w:rPr>
          <w:szCs w:val="22"/>
        </w:rPr>
        <w:t>In addition, if there is ever a concern with an electronic message sent to you, please talk with the author in person in order to correct any confusion. For more guidance see Core Rules of Netiquette at http://www.albion.com/netiquette/corerules.html.</w:t>
      </w:r>
    </w:p>
    <w:p w:rsidR="0090370B" w:rsidRDefault="0090370B" w:rsidP="00E3208D">
      <w:pPr>
        <w:spacing w:after="120"/>
        <w:jc w:val="center"/>
        <w:rPr>
          <w:b/>
          <w:color w:val="1F497D" w:themeColor="text2"/>
          <w:szCs w:val="22"/>
        </w:rPr>
      </w:pPr>
    </w:p>
    <w:p w:rsidR="0092305E" w:rsidRPr="008B1D23" w:rsidRDefault="008C5D07" w:rsidP="00E3208D">
      <w:pPr>
        <w:spacing w:after="120"/>
        <w:jc w:val="center"/>
        <w:rPr>
          <w:b/>
          <w:szCs w:val="22"/>
        </w:rPr>
      </w:pPr>
      <w:r w:rsidRPr="008B1D23">
        <w:rPr>
          <w:b/>
          <w:szCs w:val="22"/>
          <w:highlight w:val="yellow"/>
        </w:rPr>
        <w:t>Tentative Schedule</w:t>
      </w:r>
    </w:p>
    <w:p w:rsidR="00E3208D" w:rsidRPr="008B1D23" w:rsidRDefault="0092305E" w:rsidP="0092305E">
      <w:pPr>
        <w:spacing w:after="120"/>
        <w:rPr>
          <w:szCs w:val="22"/>
        </w:rPr>
      </w:pPr>
      <w:r w:rsidRPr="008B1D23">
        <w:rPr>
          <w:b/>
          <w:szCs w:val="22"/>
        </w:rPr>
        <w:t xml:space="preserve">Due to the dynamic nature of </w:t>
      </w:r>
      <w:r w:rsidR="0090370B">
        <w:rPr>
          <w:b/>
          <w:szCs w:val="22"/>
        </w:rPr>
        <w:t>the Spring 2012 Single-Subject Program schedule, t</w:t>
      </w:r>
      <w:r w:rsidRPr="008B1D23">
        <w:rPr>
          <w:b/>
          <w:szCs w:val="22"/>
        </w:rPr>
        <w:t xml:space="preserve">here is a possibility that the schedule will be changed due to the needs of the class.  </w:t>
      </w:r>
      <w:r w:rsidR="00315428">
        <w:rPr>
          <w:b/>
          <w:szCs w:val="22"/>
        </w:rPr>
        <w:t xml:space="preserve">A link to the online-collaborative schedule will be given on the first day of class. </w:t>
      </w:r>
      <w:bookmarkStart w:id="0" w:name="_GoBack"/>
      <w:bookmarkEnd w:id="0"/>
      <w:r w:rsidRPr="008B1D23">
        <w:rPr>
          <w:b/>
          <w:szCs w:val="22"/>
        </w:rPr>
        <w:t>Professor will update the expectation of the class weekly on the class blog.  Students are required to read the blog weekly to ensure the topic and assignment for each week is clearly understood.</w:t>
      </w:r>
    </w:p>
    <w:p w:rsidR="00E3208D" w:rsidRPr="00BE4EED" w:rsidRDefault="00E3208D" w:rsidP="00E3208D">
      <w:pPr>
        <w:spacing w:after="120"/>
        <w:jc w:val="center"/>
        <w:rPr>
          <w:rFonts w:ascii="Arial" w:hAnsi="Arial"/>
          <w:color w:val="1F497D" w:themeColor="text2"/>
          <w:sz w:val="18"/>
        </w:rPr>
      </w:pPr>
    </w:p>
    <w:sectPr w:rsidR="00E3208D" w:rsidRPr="00BE4EED" w:rsidSect="00E3208D">
      <w:footerReference w:type="default" r:id="rId11"/>
      <w:pgSz w:w="12240" w:h="15840" w:code="1"/>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70B" w:rsidRDefault="0090370B">
      <w:r>
        <w:separator/>
      </w:r>
    </w:p>
  </w:endnote>
  <w:endnote w:type="continuationSeparator" w:id="0">
    <w:p w:rsidR="0090370B" w:rsidRDefault="009037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neva">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70B" w:rsidRPr="00476140" w:rsidRDefault="0090370B" w:rsidP="00E3208D">
    <w:pPr>
      <w:pStyle w:val="Footer"/>
      <w:tabs>
        <w:tab w:val="clear" w:pos="4320"/>
        <w:tab w:val="clear" w:pos="8640"/>
        <w:tab w:val="center" w:pos="4680"/>
        <w:tab w:val="right" w:pos="9360"/>
      </w:tabs>
      <w:rPr>
        <w:rFonts w:ascii="Arial" w:hAnsi="Arial"/>
        <w:sz w:val="16"/>
      </w:rPr>
    </w:pPr>
    <w:r>
      <w:rPr>
        <w:rFonts w:ascii="Arial" w:hAnsi="Arial"/>
        <w:sz w:val="16"/>
      </w:rPr>
      <w:t>EDSS 530 Spring 2012</w:t>
    </w:r>
    <w:r w:rsidRPr="00476140">
      <w:rPr>
        <w:rFonts w:ascii="Arial" w:hAnsi="Arial"/>
        <w:sz w:val="16"/>
      </w:rPr>
      <w:tab/>
    </w:r>
    <w:r w:rsidRPr="00476140">
      <w:rPr>
        <w:rFonts w:ascii="Arial" w:hAnsi="Arial"/>
        <w:sz w:val="16"/>
      </w:rPr>
      <w:tab/>
    </w:r>
    <w:r>
      <w:rPr>
        <w:rFonts w:ascii="Arial" w:hAnsi="Arial"/>
        <w:sz w:val="16"/>
      </w:rPr>
      <w:t>Heil</w:t>
    </w:r>
  </w:p>
  <w:p w:rsidR="0090370B" w:rsidRDefault="0090370B" w:rsidP="00E3208D">
    <w:pPr>
      <w:pStyle w:val="Footer"/>
      <w:tabs>
        <w:tab w:val="clear" w:pos="4320"/>
        <w:tab w:val="clear" w:pos="8640"/>
        <w:tab w:val="center" w:pos="4680"/>
        <w:tab w:val="right" w:pos="9360"/>
      </w:tabs>
    </w:pPr>
    <w:r w:rsidRPr="00476140">
      <w:rPr>
        <w:rFonts w:ascii="Arial" w:hAnsi="Arial"/>
        <w:sz w:val="16"/>
      </w:rPr>
      <w:tab/>
    </w:r>
    <w:r w:rsidR="0049275E" w:rsidRPr="00476140">
      <w:rPr>
        <w:rStyle w:val="PageNumber"/>
        <w:sz w:val="16"/>
      </w:rPr>
      <w:fldChar w:fldCharType="begin"/>
    </w:r>
    <w:r w:rsidRPr="00476140">
      <w:rPr>
        <w:rStyle w:val="PageNumber"/>
        <w:rFonts w:ascii="Arial" w:hAnsi="Arial"/>
        <w:sz w:val="16"/>
      </w:rPr>
      <w:instrText xml:space="preserve"> PAGE </w:instrText>
    </w:r>
    <w:r w:rsidR="0049275E" w:rsidRPr="00476140">
      <w:rPr>
        <w:rStyle w:val="PageNumber"/>
        <w:sz w:val="16"/>
      </w:rPr>
      <w:fldChar w:fldCharType="separate"/>
    </w:r>
    <w:r w:rsidR="00E1006C">
      <w:rPr>
        <w:rStyle w:val="PageNumber"/>
        <w:rFonts w:ascii="Arial" w:hAnsi="Arial"/>
        <w:noProof/>
        <w:sz w:val="16"/>
      </w:rPr>
      <w:t>5</w:t>
    </w:r>
    <w:r w:rsidR="0049275E" w:rsidRPr="00476140">
      <w:rPr>
        <w:rStyle w:val="PageNumbe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70B" w:rsidRDefault="0090370B">
      <w:r>
        <w:separator/>
      </w:r>
    </w:p>
  </w:footnote>
  <w:footnote w:type="continuationSeparator" w:id="0">
    <w:p w:rsidR="0090370B" w:rsidRDefault="009037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14607E4"/>
    <w:multiLevelType w:val="hybridMultilevel"/>
    <w:tmpl w:val="FC6EB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5B2E8D"/>
    <w:multiLevelType w:val="hybridMultilevel"/>
    <w:tmpl w:val="0156C05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9E67140"/>
    <w:multiLevelType w:val="hybridMultilevel"/>
    <w:tmpl w:val="389E90E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0BD52778"/>
    <w:multiLevelType w:val="hybridMultilevel"/>
    <w:tmpl w:val="7A466FB0"/>
    <w:lvl w:ilvl="0" w:tplc="3DFA3860">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0CA70D80"/>
    <w:multiLevelType w:val="hybridMultilevel"/>
    <w:tmpl w:val="3F5611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532902"/>
    <w:multiLevelType w:val="hybridMultilevel"/>
    <w:tmpl w:val="C6EE426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03E3E19"/>
    <w:multiLevelType w:val="hybridMultilevel"/>
    <w:tmpl w:val="E1FC3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7C54E4"/>
    <w:multiLevelType w:val="hybridMultilevel"/>
    <w:tmpl w:val="C776A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C52EE8"/>
    <w:multiLevelType w:val="hybridMultilevel"/>
    <w:tmpl w:val="0F580366"/>
    <w:lvl w:ilvl="0" w:tplc="BE241BA0">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9632B4D"/>
    <w:multiLevelType w:val="multilevel"/>
    <w:tmpl w:val="D2E42BBA"/>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0"/>
        </w:tabs>
        <w:ind w:left="0" w:hanging="360"/>
      </w:pPr>
      <w:rPr>
        <w:rFonts w:ascii="Courier New" w:hAnsi="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eastAsia="Times New Roman"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eastAsia="Times New Roman"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5">
    <w:nsid w:val="209D5E20"/>
    <w:multiLevelType w:val="hybridMultilevel"/>
    <w:tmpl w:val="4FFE185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222058AA"/>
    <w:multiLevelType w:val="hybridMultilevel"/>
    <w:tmpl w:val="B1C09F32"/>
    <w:lvl w:ilvl="0" w:tplc="BE241BA0">
      <w:start w:val="1"/>
      <w:numFmt w:val="bullet"/>
      <w:lvlText w:val="o"/>
      <w:lvlJc w:val="left"/>
      <w:pPr>
        <w:tabs>
          <w:tab w:val="num" w:pos="450"/>
        </w:tabs>
        <w:ind w:left="450" w:hanging="360"/>
      </w:pPr>
      <w:rPr>
        <w:rFonts w:ascii="Courier New" w:hAnsi="Courier New" w:hint="default"/>
      </w:rPr>
    </w:lvl>
    <w:lvl w:ilvl="1" w:tplc="04090003" w:tentative="1">
      <w:start w:val="1"/>
      <w:numFmt w:val="bullet"/>
      <w:lvlText w:val="o"/>
      <w:lvlJc w:val="left"/>
      <w:pPr>
        <w:tabs>
          <w:tab w:val="num" w:pos="1170"/>
        </w:tabs>
        <w:ind w:left="1170" w:hanging="360"/>
      </w:pPr>
      <w:rPr>
        <w:rFonts w:ascii="Courier New" w:hAnsi="Courier New" w:cs="PMingLiU"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PMingLiU"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PMingLiU"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7">
    <w:nsid w:val="238E2BB4"/>
    <w:multiLevelType w:val="hybridMultilevel"/>
    <w:tmpl w:val="BE9E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875118"/>
    <w:multiLevelType w:val="hybridMultilevel"/>
    <w:tmpl w:val="93607754"/>
    <w:lvl w:ilvl="0" w:tplc="00010409">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2A333286"/>
    <w:multiLevelType w:val="multilevel"/>
    <w:tmpl w:val="4316F5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2B3F44ED"/>
    <w:multiLevelType w:val="hybridMultilevel"/>
    <w:tmpl w:val="F88846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2E4308B3"/>
    <w:multiLevelType w:val="hybridMultilevel"/>
    <w:tmpl w:val="E352412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325E0C26"/>
    <w:multiLevelType w:val="hybridMultilevel"/>
    <w:tmpl w:val="76D2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B340076"/>
    <w:multiLevelType w:val="hybridMultilevel"/>
    <w:tmpl w:val="F20EC46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nsid w:val="3E800151"/>
    <w:multiLevelType w:val="hybridMultilevel"/>
    <w:tmpl w:val="D0E0D46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401817FB"/>
    <w:multiLevelType w:val="hybridMultilevel"/>
    <w:tmpl w:val="4316F54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nsid w:val="420D37F0"/>
    <w:multiLevelType w:val="hybridMultilevel"/>
    <w:tmpl w:val="55C4B05C"/>
    <w:lvl w:ilvl="0" w:tplc="BB9CDD92">
      <w:start w:val="1"/>
      <w:numFmt w:val="decimal"/>
      <w:lvlText w:val="%1."/>
      <w:lvlJc w:val="left"/>
      <w:pPr>
        <w:tabs>
          <w:tab w:val="num" w:pos="720"/>
        </w:tabs>
        <w:ind w:left="720" w:hanging="360"/>
      </w:pPr>
    </w:lvl>
    <w:lvl w:ilvl="1" w:tplc="D49E2B2E">
      <w:start w:val="1"/>
      <w:numFmt w:val="lowerLetter"/>
      <w:lvlText w:val="%2."/>
      <w:lvlJc w:val="left"/>
      <w:pPr>
        <w:tabs>
          <w:tab w:val="num" w:pos="1440"/>
        </w:tabs>
        <w:ind w:left="1440" w:hanging="360"/>
      </w:pPr>
    </w:lvl>
    <w:lvl w:ilvl="2" w:tplc="04B8807A" w:tentative="1">
      <w:start w:val="1"/>
      <w:numFmt w:val="lowerRoman"/>
      <w:lvlText w:val="%3."/>
      <w:lvlJc w:val="right"/>
      <w:pPr>
        <w:tabs>
          <w:tab w:val="num" w:pos="2160"/>
        </w:tabs>
        <w:ind w:left="2160" w:hanging="180"/>
      </w:pPr>
    </w:lvl>
    <w:lvl w:ilvl="3" w:tplc="54C472D4" w:tentative="1">
      <w:start w:val="1"/>
      <w:numFmt w:val="decimal"/>
      <w:lvlText w:val="%4."/>
      <w:lvlJc w:val="left"/>
      <w:pPr>
        <w:tabs>
          <w:tab w:val="num" w:pos="2880"/>
        </w:tabs>
        <w:ind w:left="2880" w:hanging="360"/>
      </w:pPr>
    </w:lvl>
    <w:lvl w:ilvl="4" w:tplc="943064F8" w:tentative="1">
      <w:start w:val="1"/>
      <w:numFmt w:val="lowerLetter"/>
      <w:lvlText w:val="%5."/>
      <w:lvlJc w:val="left"/>
      <w:pPr>
        <w:tabs>
          <w:tab w:val="num" w:pos="3600"/>
        </w:tabs>
        <w:ind w:left="3600" w:hanging="360"/>
      </w:pPr>
    </w:lvl>
    <w:lvl w:ilvl="5" w:tplc="E9D2D8DC" w:tentative="1">
      <w:start w:val="1"/>
      <w:numFmt w:val="lowerRoman"/>
      <w:lvlText w:val="%6."/>
      <w:lvlJc w:val="right"/>
      <w:pPr>
        <w:tabs>
          <w:tab w:val="num" w:pos="4320"/>
        </w:tabs>
        <w:ind w:left="4320" w:hanging="180"/>
      </w:pPr>
    </w:lvl>
    <w:lvl w:ilvl="6" w:tplc="22F45C14" w:tentative="1">
      <w:start w:val="1"/>
      <w:numFmt w:val="decimal"/>
      <w:lvlText w:val="%7."/>
      <w:lvlJc w:val="left"/>
      <w:pPr>
        <w:tabs>
          <w:tab w:val="num" w:pos="5040"/>
        </w:tabs>
        <w:ind w:left="5040" w:hanging="360"/>
      </w:pPr>
    </w:lvl>
    <w:lvl w:ilvl="7" w:tplc="E56C14B8" w:tentative="1">
      <w:start w:val="1"/>
      <w:numFmt w:val="lowerLetter"/>
      <w:lvlText w:val="%8."/>
      <w:lvlJc w:val="left"/>
      <w:pPr>
        <w:tabs>
          <w:tab w:val="num" w:pos="5760"/>
        </w:tabs>
        <w:ind w:left="5760" w:hanging="360"/>
      </w:pPr>
    </w:lvl>
    <w:lvl w:ilvl="8" w:tplc="4672113A" w:tentative="1">
      <w:start w:val="1"/>
      <w:numFmt w:val="lowerRoman"/>
      <w:lvlText w:val="%9."/>
      <w:lvlJc w:val="right"/>
      <w:pPr>
        <w:tabs>
          <w:tab w:val="num" w:pos="6480"/>
        </w:tabs>
        <w:ind w:left="6480" w:hanging="180"/>
      </w:pPr>
    </w:lvl>
  </w:abstractNum>
  <w:abstractNum w:abstractNumId="29">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31">
    <w:nsid w:val="4AC05B95"/>
    <w:multiLevelType w:val="hybridMultilevel"/>
    <w:tmpl w:val="713219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CA3554E"/>
    <w:multiLevelType w:val="hybridMultilevel"/>
    <w:tmpl w:val="5C7A3FB4"/>
    <w:lvl w:ilvl="0" w:tplc="04090001">
      <w:start w:val="1"/>
      <w:numFmt w:val="bullet"/>
      <w:lvlText w:val=""/>
      <w:lvlJc w:val="left"/>
      <w:pPr>
        <w:tabs>
          <w:tab w:val="num" w:pos="720"/>
        </w:tabs>
        <w:ind w:left="720" w:hanging="360"/>
      </w:pPr>
      <w:rPr>
        <w:rFonts w:ascii="Symbol" w:hAnsi="Symbol" w:hint="default"/>
      </w:rPr>
    </w:lvl>
    <w:lvl w:ilvl="1" w:tplc="4B8245E4">
      <w:start w:val="5050"/>
      <w:numFmt w:val="bullet"/>
      <w:lvlText w:val=""/>
      <w:lvlJc w:val="left"/>
      <w:pPr>
        <w:tabs>
          <w:tab w:val="num" w:pos="1440"/>
        </w:tabs>
        <w:ind w:left="1440" w:hanging="360"/>
      </w:pPr>
      <w:rPr>
        <w:rFonts w:ascii="Wingdings" w:eastAsia="PMingLiU" w:hAnsi="Wingdings" w:cs="PMingLiU"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MingLiU"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MingLiU"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CB61B02"/>
    <w:multiLevelType w:val="hybridMultilevel"/>
    <w:tmpl w:val="BCA6E53A"/>
    <w:lvl w:ilvl="0" w:tplc="BE241BA0">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4F8725F3"/>
    <w:multiLevelType w:val="hybridMultilevel"/>
    <w:tmpl w:val="246C87B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5">
    <w:nsid w:val="553C1460"/>
    <w:multiLevelType w:val="hybridMultilevel"/>
    <w:tmpl w:val="AC20C85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6">
    <w:nsid w:val="55B25A7C"/>
    <w:multiLevelType w:val="hybridMultilevel"/>
    <w:tmpl w:val="1E2AB87E"/>
    <w:lvl w:ilvl="0" w:tplc="BE241BA0">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D8E5CE9"/>
    <w:multiLevelType w:val="hybridMultilevel"/>
    <w:tmpl w:val="94200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42348E"/>
    <w:multiLevelType w:val="hybridMultilevel"/>
    <w:tmpl w:val="D14043BA"/>
    <w:lvl w:ilvl="0" w:tplc="000F0409">
      <w:start w:val="1"/>
      <w:numFmt w:val="decimal"/>
      <w:lvlText w:val="%1."/>
      <w:lvlJc w:val="left"/>
      <w:pPr>
        <w:tabs>
          <w:tab w:val="num" w:pos="0"/>
        </w:tabs>
        <w:ind w:left="0" w:hanging="360"/>
      </w:pPr>
    </w:lvl>
    <w:lvl w:ilvl="1" w:tplc="00190409" w:tentative="1">
      <w:start w:val="1"/>
      <w:numFmt w:val="lowerLetter"/>
      <w:lvlText w:val="%2."/>
      <w:lvlJc w:val="left"/>
      <w:pPr>
        <w:tabs>
          <w:tab w:val="num" w:pos="720"/>
        </w:tabs>
        <w:ind w:left="720" w:hanging="360"/>
      </w:p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39">
    <w:nsid w:val="6FC17F4D"/>
    <w:multiLevelType w:val="hybridMultilevel"/>
    <w:tmpl w:val="0FD48728"/>
    <w:lvl w:ilvl="0" w:tplc="BE241BA0">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28D6C4B"/>
    <w:multiLevelType w:val="hybridMultilevel"/>
    <w:tmpl w:val="ACB062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434432F"/>
    <w:multiLevelType w:val="hybridMultilevel"/>
    <w:tmpl w:val="676E8084"/>
    <w:lvl w:ilvl="0" w:tplc="BE241BA0">
      <w:start w:val="1"/>
      <w:numFmt w:val="bullet"/>
      <w:lvlText w:val="o"/>
      <w:lvlJc w:val="left"/>
      <w:pPr>
        <w:tabs>
          <w:tab w:val="num" w:pos="450"/>
        </w:tabs>
        <w:ind w:left="450" w:hanging="360"/>
      </w:pPr>
      <w:rPr>
        <w:rFonts w:ascii="Courier New" w:hAnsi="Courier New" w:hint="default"/>
      </w:rPr>
    </w:lvl>
    <w:lvl w:ilvl="1" w:tplc="04090003" w:tentative="1">
      <w:start w:val="1"/>
      <w:numFmt w:val="bullet"/>
      <w:lvlText w:val="o"/>
      <w:lvlJc w:val="left"/>
      <w:pPr>
        <w:tabs>
          <w:tab w:val="num" w:pos="1170"/>
        </w:tabs>
        <w:ind w:left="1170" w:hanging="360"/>
      </w:pPr>
      <w:rPr>
        <w:rFonts w:ascii="Courier New" w:hAnsi="Courier New" w:cs="PMingLiU"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PMingLiU"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PMingLiU"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2">
    <w:nsid w:val="779D0851"/>
    <w:multiLevelType w:val="hybridMultilevel"/>
    <w:tmpl w:val="948897E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7A277975"/>
    <w:multiLevelType w:val="hybridMultilevel"/>
    <w:tmpl w:val="7A18594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4">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MingLiU"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MingLiU"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MingLiU"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0"/>
  </w:num>
  <w:num w:numId="4">
    <w:abstractNumId w:val="28"/>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9"/>
  </w:num>
  <w:num w:numId="7">
    <w:abstractNumId w:val="9"/>
  </w:num>
  <w:num w:numId="8">
    <w:abstractNumId w:val="1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3"/>
  </w:num>
  <w:num w:numId="12">
    <w:abstractNumId w:val="24"/>
  </w:num>
  <w:num w:numId="13">
    <w:abstractNumId w:val="45"/>
  </w:num>
  <w:num w:numId="14">
    <w:abstractNumId w:val="21"/>
  </w:num>
  <w:num w:numId="15">
    <w:abstractNumId w:val="32"/>
  </w:num>
  <w:num w:numId="16">
    <w:abstractNumId w:val="25"/>
  </w:num>
  <w:num w:numId="17">
    <w:abstractNumId w:val="40"/>
  </w:num>
  <w:num w:numId="18">
    <w:abstractNumId w:val="2"/>
  </w:num>
  <w:num w:numId="19">
    <w:abstractNumId w:val="31"/>
  </w:num>
  <w:num w:numId="20">
    <w:abstractNumId w:val="35"/>
  </w:num>
  <w:num w:numId="21">
    <w:abstractNumId w:val="14"/>
  </w:num>
  <w:num w:numId="22">
    <w:abstractNumId w:val="17"/>
  </w:num>
  <w:num w:numId="23">
    <w:abstractNumId w:val="11"/>
  </w:num>
  <w:num w:numId="24">
    <w:abstractNumId w:val="10"/>
  </w:num>
  <w:num w:numId="25">
    <w:abstractNumId w:val="23"/>
  </w:num>
  <w:num w:numId="26">
    <w:abstractNumId w:val="7"/>
  </w:num>
  <w:num w:numId="27">
    <w:abstractNumId w:val="16"/>
  </w:num>
  <w:num w:numId="28">
    <w:abstractNumId w:val="41"/>
  </w:num>
  <w:num w:numId="29">
    <w:abstractNumId w:val="36"/>
  </w:num>
  <w:num w:numId="30">
    <w:abstractNumId w:val="12"/>
  </w:num>
  <w:num w:numId="31">
    <w:abstractNumId w:val="39"/>
  </w:num>
  <w:num w:numId="32">
    <w:abstractNumId w:val="33"/>
  </w:num>
  <w:num w:numId="33">
    <w:abstractNumId w:val="4"/>
  </w:num>
  <w:num w:numId="34">
    <w:abstractNumId w:val="15"/>
  </w:num>
  <w:num w:numId="35">
    <w:abstractNumId w:val="43"/>
  </w:num>
  <w:num w:numId="36">
    <w:abstractNumId w:val="22"/>
  </w:num>
  <w:num w:numId="37">
    <w:abstractNumId w:val="5"/>
  </w:num>
  <w:num w:numId="38">
    <w:abstractNumId w:val="34"/>
  </w:num>
  <w:num w:numId="39">
    <w:abstractNumId w:val="27"/>
  </w:num>
  <w:num w:numId="40">
    <w:abstractNumId w:val="20"/>
  </w:num>
  <w:num w:numId="41">
    <w:abstractNumId w:val="6"/>
  </w:num>
  <w:num w:numId="42">
    <w:abstractNumId w:val="42"/>
  </w:num>
  <w:num w:numId="43">
    <w:abstractNumId w:val="26"/>
  </w:num>
  <w:num w:numId="44">
    <w:abstractNumId w:val="8"/>
  </w:num>
  <w:num w:numId="45">
    <w:abstractNumId w:val="38"/>
  </w:num>
  <w:num w:numId="46">
    <w:abstractNumId w:val="19"/>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D10A9"/>
    <w:rsid w:val="00101046"/>
    <w:rsid w:val="002910A1"/>
    <w:rsid w:val="00315428"/>
    <w:rsid w:val="0049275E"/>
    <w:rsid w:val="004A194B"/>
    <w:rsid w:val="004B0D54"/>
    <w:rsid w:val="005D10A9"/>
    <w:rsid w:val="0086542C"/>
    <w:rsid w:val="008B1D23"/>
    <w:rsid w:val="008C5D07"/>
    <w:rsid w:val="0090370B"/>
    <w:rsid w:val="0092305E"/>
    <w:rsid w:val="00957271"/>
    <w:rsid w:val="00972C50"/>
    <w:rsid w:val="00CD5519"/>
    <w:rsid w:val="00DC1A58"/>
    <w:rsid w:val="00E02384"/>
    <w:rsid w:val="00E1006C"/>
    <w:rsid w:val="00E3208D"/>
    <w:rsid w:val="00F178F9"/>
    <w:rsid w:val="00FD6F40"/>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rsid w:val="00F75B83"/>
    <w:rPr>
      <w:rFonts w:ascii="Times New Roman" w:hAnsi="Times New Roman"/>
    </w:rPr>
  </w:style>
  <w:style w:type="paragraph" w:styleId="Heading1">
    <w:name w:val="heading 1"/>
    <w:basedOn w:val="Normal"/>
    <w:next w:val="Normal"/>
    <w:qFormat/>
    <w:rsid w:val="00AC202E"/>
    <w:pPr>
      <w:keepNext/>
      <w:jc w:val="center"/>
      <w:outlineLvl w:val="0"/>
    </w:pPr>
    <w:rPr>
      <w:rFonts w:ascii="Times" w:hAnsi="Times"/>
      <w:b/>
      <w:sz w:val="24"/>
    </w:rPr>
  </w:style>
  <w:style w:type="paragraph" w:styleId="Heading2">
    <w:name w:val="heading 2"/>
    <w:basedOn w:val="Normal"/>
    <w:next w:val="Normal"/>
    <w:qFormat/>
    <w:rsid w:val="00AC202E"/>
    <w:pPr>
      <w:keepNext/>
      <w:jc w:val="center"/>
      <w:outlineLvl w:val="1"/>
    </w:pPr>
    <w:rPr>
      <w:b/>
      <w:sz w:val="24"/>
    </w:rPr>
  </w:style>
  <w:style w:type="paragraph" w:styleId="Heading3">
    <w:name w:val="heading 3"/>
    <w:basedOn w:val="Normal"/>
    <w:next w:val="Normal"/>
    <w:qFormat/>
    <w:rsid w:val="00AC202E"/>
    <w:pPr>
      <w:keepNext/>
      <w:outlineLvl w:val="2"/>
    </w:pPr>
    <w:rPr>
      <w:rFonts w:ascii="Palatino" w:hAnsi="Palatino"/>
      <w:b/>
    </w:rPr>
  </w:style>
  <w:style w:type="paragraph" w:styleId="Heading4">
    <w:name w:val="heading 4"/>
    <w:basedOn w:val="Normal"/>
    <w:next w:val="Normal"/>
    <w:qFormat/>
    <w:rsid w:val="00AC202E"/>
    <w:pPr>
      <w:keepNext/>
      <w:jc w:val="center"/>
      <w:outlineLvl w:val="3"/>
    </w:pPr>
    <w:rPr>
      <w:rFonts w:ascii="Palatino" w:hAnsi="Palatino"/>
      <w:b/>
    </w:rPr>
  </w:style>
  <w:style w:type="paragraph" w:styleId="Heading5">
    <w:name w:val="heading 5"/>
    <w:basedOn w:val="Normal"/>
    <w:next w:val="Normal"/>
    <w:qFormat/>
    <w:rsid w:val="00AC202E"/>
    <w:pPr>
      <w:keepNext/>
      <w:ind w:left="280" w:hanging="270"/>
      <w:outlineLvl w:val="4"/>
    </w:pPr>
    <w:rPr>
      <w:rFonts w:ascii="Helvetica" w:hAnsi="Helvetica"/>
      <w:b/>
      <w:sz w:val="18"/>
    </w:rPr>
  </w:style>
  <w:style w:type="paragraph" w:styleId="Heading6">
    <w:name w:val="heading 6"/>
    <w:basedOn w:val="Normal"/>
    <w:next w:val="Normal"/>
    <w:qFormat/>
    <w:rsid w:val="00AC202E"/>
    <w:pPr>
      <w:keepNext/>
      <w:ind w:left="1440" w:hanging="1440"/>
      <w:outlineLvl w:val="5"/>
    </w:pPr>
    <w:rPr>
      <w:b/>
    </w:rPr>
  </w:style>
  <w:style w:type="paragraph" w:styleId="Heading7">
    <w:name w:val="heading 7"/>
    <w:basedOn w:val="Normal"/>
    <w:next w:val="Normal"/>
    <w:qFormat/>
    <w:rsid w:val="00AC202E"/>
    <w:pPr>
      <w:keepNext/>
      <w:ind w:left="1440" w:hanging="1440"/>
      <w:outlineLvl w:val="6"/>
    </w:pPr>
    <w:rPr>
      <w:sz w:val="24"/>
    </w:rPr>
  </w:style>
  <w:style w:type="paragraph" w:styleId="Heading8">
    <w:name w:val="heading 8"/>
    <w:basedOn w:val="Normal"/>
    <w:next w:val="Normal"/>
    <w:qFormat/>
    <w:rsid w:val="00AC202E"/>
    <w:pPr>
      <w:keepNext/>
      <w:ind w:left="210" w:hanging="210"/>
      <w:outlineLvl w:val="7"/>
    </w:pPr>
    <w:rPr>
      <w:rFonts w:ascii="Helvetica" w:hAnsi="Helvetica"/>
      <w:b/>
      <w:sz w:val="18"/>
    </w:rPr>
  </w:style>
  <w:style w:type="paragraph" w:styleId="Heading9">
    <w:name w:val="heading 9"/>
    <w:basedOn w:val="Normal"/>
    <w:next w:val="Normal"/>
    <w:qFormat/>
    <w:rsid w:val="00AC202E"/>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202E"/>
    <w:pPr>
      <w:tabs>
        <w:tab w:val="center" w:pos="4320"/>
        <w:tab w:val="right" w:pos="8640"/>
      </w:tabs>
    </w:pPr>
    <w:rPr>
      <w:rFonts w:ascii="Palatino" w:hAnsi="Palatino"/>
      <w:sz w:val="24"/>
    </w:rPr>
  </w:style>
  <w:style w:type="paragraph" w:styleId="Footer">
    <w:name w:val="footer"/>
    <w:basedOn w:val="Normal"/>
    <w:rsid w:val="00AC202E"/>
    <w:pPr>
      <w:tabs>
        <w:tab w:val="center" w:pos="4320"/>
        <w:tab w:val="right" w:pos="8640"/>
      </w:tabs>
    </w:pPr>
    <w:rPr>
      <w:rFonts w:ascii="Times" w:hAnsi="Times"/>
      <w:i/>
      <w:sz w:val="18"/>
    </w:rPr>
  </w:style>
  <w:style w:type="character" w:styleId="PageNumber">
    <w:name w:val="page number"/>
    <w:basedOn w:val="DefaultParagraphFont"/>
    <w:rsid w:val="00AC202E"/>
  </w:style>
  <w:style w:type="character" w:styleId="Hyperlink">
    <w:name w:val="Hyperlink"/>
    <w:basedOn w:val="DefaultParagraphFont"/>
    <w:rsid w:val="00AC202E"/>
    <w:rPr>
      <w:color w:val="0000FF"/>
      <w:u w:val="single"/>
    </w:rPr>
  </w:style>
  <w:style w:type="paragraph" w:styleId="BodyText2">
    <w:name w:val="Body Text 2"/>
    <w:basedOn w:val="Normal"/>
    <w:rsid w:val="00AC202E"/>
    <w:pPr>
      <w:ind w:right="-720"/>
    </w:pPr>
    <w:rPr>
      <w:rFonts w:ascii="Palatino" w:eastAsia="Times" w:hAnsi="Palatino"/>
      <w:b/>
      <w:sz w:val="28"/>
    </w:rPr>
  </w:style>
  <w:style w:type="character" w:styleId="FollowedHyperlink">
    <w:name w:val="FollowedHyperlink"/>
    <w:basedOn w:val="DefaultParagraphFont"/>
    <w:rsid w:val="00AC202E"/>
    <w:rPr>
      <w:color w:val="800080"/>
      <w:u w:val="single"/>
    </w:rPr>
  </w:style>
  <w:style w:type="paragraph" w:styleId="BodyText3">
    <w:name w:val="Body Text 3"/>
    <w:basedOn w:val="Normal"/>
    <w:rsid w:val="00AC202E"/>
    <w:pPr>
      <w:ind w:right="342"/>
    </w:pPr>
  </w:style>
  <w:style w:type="paragraph" w:styleId="BodyText">
    <w:name w:val="Body Text"/>
    <w:basedOn w:val="Normal"/>
    <w:rsid w:val="00AC202E"/>
    <w:rPr>
      <w:b/>
    </w:rPr>
  </w:style>
  <w:style w:type="paragraph" w:styleId="DocumentMap">
    <w:name w:val="Document Map"/>
    <w:basedOn w:val="Normal"/>
    <w:semiHidden/>
    <w:rsid w:val="00AC202E"/>
    <w:pPr>
      <w:shd w:val="clear" w:color="auto" w:fill="000080"/>
    </w:pPr>
    <w:rPr>
      <w:rFonts w:ascii="Geneva" w:hAnsi="Geneva"/>
    </w:rPr>
  </w:style>
  <w:style w:type="paragraph" w:styleId="Title">
    <w:name w:val="Title"/>
    <w:basedOn w:val="Normal"/>
    <w:qFormat/>
    <w:rsid w:val="00AC202E"/>
    <w:pPr>
      <w:jc w:val="center"/>
    </w:pPr>
    <w:rPr>
      <w:b/>
      <w:sz w:val="24"/>
    </w:rPr>
  </w:style>
  <w:style w:type="paragraph" w:styleId="BlockText">
    <w:name w:val="Block Text"/>
    <w:basedOn w:val="Normal"/>
    <w:rsid w:val="00AC202E"/>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9B6E72"/>
    <w:rPr>
      <w:rFonts w:ascii="Times" w:eastAsia="MS Mincho" w:hAnsi="Times" w:cs="Times"/>
      <w:lang w:eastAsia="ja-JP"/>
    </w:rPr>
  </w:style>
  <w:style w:type="paragraph" w:styleId="NormalWeb">
    <w:name w:val="Normal (Web)"/>
    <w:basedOn w:val="Normal"/>
    <w:uiPriority w:val="99"/>
    <w:unhideWhenUsed/>
    <w:rsid w:val="00E02384"/>
    <w:pPr>
      <w:spacing w:before="100" w:beforeAutospacing="1" w:after="100" w:afterAutospacing="1"/>
    </w:pPr>
    <w:rPr>
      <w:sz w:val="24"/>
      <w:szCs w:val="24"/>
    </w:rPr>
  </w:style>
  <w:style w:type="paragraph" w:styleId="ListParagraph">
    <w:name w:val="List Paragraph"/>
    <w:basedOn w:val="Normal"/>
    <w:uiPriority w:val="34"/>
    <w:qFormat/>
    <w:rsid w:val="00E02384"/>
    <w:pPr>
      <w:ind w:left="720"/>
      <w:contextualSpacing/>
    </w:pPr>
    <w:rPr>
      <w:rFonts w:eastAsiaTheme="minorHAnsi"/>
      <w:sz w:val="24"/>
      <w:szCs w:val="24"/>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F75B83"/>
    <w:rPr>
      <w:rFonts w:ascii="Times New Roman" w:hAnsi="Times New Roman"/>
    </w:rPr>
  </w:style>
  <w:style w:type="paragraph" w:styleId="Heading1">
    <w:name w:val="heading 1"/>
    <w:basedOn w:val="Normal"/>
    <w:next w:val="Normal"/>
    <w:qFormat/>
    <w:rsid w:val="00AC202E"/>
    <w:pPr>
      <w:keepNext/>
      <w:jc w:val="center"/>
      <w:outlineLvl w:val="0"/>
    </w:pPr>
    <w:rPr>
      <w:rFonts w:ascii="Times" w:hAnsi="Times"/>
      <w:b/>
      <w:sz w:val="24"/>
    </w:rPr>
  </w:style>
  <w:style w:type="paragraph" w:styleId="Heading2">
    <w:name w:val="heading 2"/>
    <w:basedOn w:val="Normal"/>
    <w:next w:val="Normal"/>
    <w:qFormat/>
    <w:rsid w:val="00AC202E"/>
    <w:pPr>
      <w:keepNext/>
      <w:jc w:val="center"/>
      <w:outlineLvl w:val="1"/>
    </w:pPr>
    <w:rPr>
      <w:b/>
      <w:sz w:val="24"/>
    </w:rPr>
  </w:style>
  <w:style w:type="paragraph" w:styleId="Heading3">
    <w:name w:val="heading 3"/>
    <w:basedOn w:val="Normal"/>
    <w:next w:val="Normal"/>
    <w:qFormat/>
    <w:rsid w:val="00AC202E"/>
    <w:pPr>
      <w:keepNext/>
      <w:outlineLvl w:val="2"/>
    </w:pPr>
    <w:rPr>
      <w:rFonts w:ascii="Palatino" w:hAnsi="Palatino"/>
      <w:b/>
    </w:rPr>
  </w:style>
  <w:style w:type="paragraph" w:styleId="Heading4">
    <w:name w:val="heading 4"/>
    <w:basedOn w:val="Normal"/>
    <w:next w:val="Normal"/>
    <w:qFormat/>
    <w:rsid w:val="00AC202E"/>
    <w:pPr>
      <w:keepNext/>
      <w:jc w:val="center"/>
      <w:outlineLvl w:val="3"/>
    </w:pPr>
    <w:rPr>
      <w:rFonts w:ascii="Palatino" w:hAnsi="Palatino"/>
      <w:b/>
    </w:rPr>
  </w:style>
  <w:style w:type="paragraph" w:styleId="Heading5">
    <w:name w:val="heading 5"/>
    <w:basedOn w:val="Normal"/>
    <w:next w:val="Normal"/>
    <w:qFormat/>
    <w:rsid w:val="00AC202E"/>
    <w:pPr>
      <w:keepNext/>
      <w:ind w:left="280" w:hanging="270"/>
      <w:outlineLvl w:val="4"/>
    </w:pPr>
    <w:rPr>
      <w:rFonts w:ascii="Helvetica" w:hAnsi="Helvetica"/>
      <w:b/>
      <w:sz w:val="18"/>
    </w:rPr>
  </w:style>
  <w:style w:type="paragraph" w:styleId="Heading6">
    <w:name w:val="heading 6"/>
    <w:basedOn w:val="Normal"/>
    <w:next w:val="Normal"/>
    <w:qFormat/>
    <w:rsid w:val="00AC202E"/>
    <w:pPr>
      <w:keepNext/>
      <w:ind w:left="1440" w:hanging="1440"/>
      <w:outlineLvl w:val="5"/>
    </w:pPr>
    <w:rPr>
      <w:b/>
    </w:rPr>
  </w:style>
  <w:style w:type="paragraph" w:styleId="Heading7">
    <w:name w:val="heading 7"/>
    <w:basedOn w:val="Normal"/>
    <w:next w:val="Normal"/>
    <w:qFormat/>
    <w:rsid w:val="00AC202E"/>
    <w:pPr>
      <w:keepNext/>
      <w:ind w:left="1440" w:hanging="1440"/>
      <w:outlineLvl w:val="6"/>
    </w:pPr>
    <w:rPr>
      <w:sz w:val="24"/>
    </w:rPr>
  </w:style>
  <w:style w:type="paragraph" w:styleId="Heading8">
    <w:name w:val="heading 8"/>
    <w:basedOn w:val="Normal"/>
    <w:next w:val="Normal"/>
    <w:qFormat/>
    <w:rsid w:val="00AC202E"/>
    <w:pPr>
      <w:keepNext/>
      <w:ind w:left="210" w:hanging="210"/>
      <w:outlineLvl w:val="7"/>
    </w:pPr>
    <w:rPr>
      <w:rFonts w:ascii="Helvetica" w:hAnsi="Helvetica"/>
      <w:b/>
      <w:sz w:val="18"/>
    </w:rPr>
  </w:style>
  <w:style w:type="paragraph" w:styleId="Heading9">
    <w:name w:val="heading 9"/>
    <w:basedOn w:val="Normal"/>
    <w:next w:val="Normal"/>
    <w:qFormat/>
    <w:rsid w:val="00AC202E"/>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202E"/>
    <w:pPr>
      <w:tabs>
        <w:tab w:val="center" w:pos="4320"/>
        <w:tab w:val="right" w:pos="8640"/>
      </w:tabs>
    </w:pPr>
    <w:rPr>
      <w:rFonts w:ascii="Palatino" w:hAnsi="Palatino"/>
      <w:sz w:val="24"/>
    </w:rPr>
  </w:style>
  <w:style w:type="paragraph" w:styleId="Footer">
    <w:name w:val="footer"/>
    <w:basedOn w:val="Normal"/>
    <w:rsid w:val="00AC202E"/>
    <w:pPr>
      <w:tabs>
        <w:tab w:val="center" w:pos="4320"/>
        <w:tab w:val="right" w:pos="8640"/>
      </w:tabs>
    </w:pPr>
    <w:rPr>
      <w:rFonts w:ascii="Times" w:hAnsi="Times"/>
      <w:i/>
      <w:sz w:val="18"/>
    </w:rPr>
  </w:style>
  <w:style w:type="character" w:styleId="PageNumber">
    <w:name w:val="page number"/>
    <w:basedOn w:val="DefaultParagraphFont"/>
    <w:rsid w:val="00AC202E"/>
  </w:style>
  <w:style w:type="character" w:styleId="Hyperlink">
    <w:name w:val="Hyperlink"/>
    <w:basedOn w:val="DefaultParagraphFont"/>
    <w:rsid w:val="00AC202E"/>
    <w:rPr>
      <w:color w:val="0000FF"/>
      <w:u w:val="single"/>
    </w:rPr>
  </w:style>
  <w:style w:type="paragraph" w:styleId="BodyText2">
    <w:name w:val="Body Text 2"/>
    <w:basedOn w:val="Normal"/>
    <w:rsid w:val="00AC202E"/>
    <w:pPr>
      <w:ind w:right="-720"/>
    </w:pPr>
    <w:rPr>
      <w:rFonts w:ascii="Palatino" w:eastAsia="Times" w:hAnsi="Palatino"/>
      <w:b/>
      <w:sz w:val="28"/>
    </w:rPr>
  </w:style>
  <w:style w:type="character" w:styleId="FollowedHyperlink">
    <w:name w:val="FollowedHyperlink"/>
    <w:basedOn w:val="DefaultParagraphFont"/>
    <w:rsid w:val="00AC202E"/>
    <w:rPr>
      <w:color w:val="800080"/>
      <w:u w:val="single"/>
    </w:rPr>
  </w:style>
  <w:style w:type="paragraph" w:styleId="BodyText3">
    <w:name w:val="Body Text 3"/>
    <w:basedOn w:val="Normal"/>
    <w:rsid w:val="00AC202E"/>
    <w:pPr>
      <w:ind w:right="342"/>
    </w:pPr>
  </w:style>
  <w:style w:type="paragraph" w:styleId="BodyText">
    <w:name w:val="Body Text"/>
    <w:basedOn w:val="Normal"/>
    <w:rsid w:val="00AC202E"/>
    <w:rPr>
      <w:b/>
    </w:rPr>
  </w:style>
  <w:style w:type="paragraph" w:styleId="DocumentMap">
    <w:name w:val="Document Map"/>
    <w:basedOn w:val="Normal"/>
    <w:semiHidden/>
    <w:rsid w:val="00AC202E"/>
    <w:pPr>
      <w:shd w:val="clear" w:color="auto" w:fill="000080"/>
    </w:pPr>
    <w:rPr>
      <w:rFonts w:ascii="Geneva" w:hAnsi="Geneva"/>
    </w:rPr>
  </w:style>
  <w:style w:type="paragraph" w:styleId="Title">
    <w:name w:val="Title"/>
    <w:basedOn w:val="Normal"/>
    <w:qFormat/>
    <w:rsid w:val="00AC202E"/>
    <w:pPr>
      <w:jc w:val="center"/>
    </w:pPr>
    <w:rPr>
      <w:b/>
      <w:sz w:val="24"/>
    </w:rPr>
  </w:style>
  <w:style w:type="paragraph" w:styleId="BlockText">
    <w:name w:val="Block Text"/>
    <w:basedOn w:val="Normal"/>
    <w:rsid w:val="00AC202E"/>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9B6E72"/>
    <w:rPr>
      <w:rFonts w:ascii="Times" w:eastAsia="MS Mincho" w:hAnsi="Times" w:cs="Times"/>
      <w:lang w:eastAsia="ja-JP"/>
    </w:rPr>
  </w:style>
  <w:style w:type="paragraph" w:styleId="NormalWeb">
    <w:name w:val="Normal (Web)"/>
    <w:basedOn w:val="Normal"/>
    <w:uiPriority w:val="99"/>
    <w:unhideWhenUsed/>
    <w:rsid w:val="00E02384"/>
    <w:pPr>
      <w:spacing w:before="100" w:beforeAutospacing="1" w:after="100" w:afterAutospacing="1"/>
    </w:pPr>
    <w:rPr>
      <w:sz w:val="24"/>
      <w:szCs w:val="24"/>
    </w:rPr>
  </w:style>
  <w:style w:type="paragraph" w:styleId="ListParagraph">
    <w:name w:val="List Paragraph"/>
    <w:basedOn w:val="Normal"/>
    <w:uiPriority w:val="34"/>
    <w:qFormat/>
    <w:rsid w:val="00E02384"/>
    <w:pPr>
      <w:ind w:left="720"/>
      <w:contextualSpacing/>
    </w:pPr>
    <w:rPr>
      <w:rFonts w:eastAsiaTheme="minorHAnsi"/>
      <w:sz w:val="24"/>
      <w:szCs w:val="24"/>
      <w:lang w:bidi="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bebook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usm.edu/education/CalTPA/ProgramMaterialsTP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alf.ebay.com/" TargetMode="External"/><Relationship Id="rId4" Type="http://schemas.openxmlformats.org/officeDocument/2006/relationships/webSettings" Target="webSettings.xml"/><Relationship Id="rId9" Type="http://schemas.openxmlformats.org/officeDocument/2006/relationships/hyperlink" Target="http://www.amazon.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2436</Words>
  <Characters>13889</Characters>
  <Application>Microsoft Office Word</Application>
  <DocSecurity>0</DocSecurity>
  <Lines>115</Lines>
  <Paragraphs>32</Paragraphs>
  <ScaleCrop>false</ScaleCrop>
  <Company>CSUSM</Company>
  <LinksUpToDate>false</LinksUpToDate>
  <CharactersWithSpaces>16293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cp:lastModifiedBy>Donna Matanane</cp:lastModifiedBy>
  <cp:revision>5</cp:revision>
  <cp:lastPrinted>2012-02-27T20:35:00Z</cp:lastPrinted>
  <dcterms:created xsi:type="dcterms:W3CDTF">2012-01-22T06:19:00Z</dcterms:created>
  <dcterms:modified xsi:type="dcterms:W3CDTF">2012-02-27T20:36:00Z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